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40C3F" w14:textId="77777777" w:rsidR="00C959A2" w:rsidRDefault="00C959A2" w:rsidP="00C959A2">
      <w:pPr>
        <w:spacing w:after="120"/>
        <w:jc w:val="center"/>
        <w:rPr>
          <w:b/>
        </w:rPr>
      </w:pPr>
      <w:r>
        <w:rPr>
          <w:b/>
        </w:rPr>
        <w:t>NEW CONTRIBUTIONS OF THE DISSERTATION</w:t>
      </w:r>
    </w:p>
    <w:p w14:paraId="2DA69B0A" w14:textId="77777777" w:rsidR="00C959A2" w:rsidRPr="008854A3" w:rsidRDefault="00C959A2" w:rsidP="00C959A2">
      <w:pPr>
        <w:spacing w:before="240" w:line="264" w:lineRule="auto"/>
        <w:rPr>
          <w:b/>
          <w:iCs/>
        </w:rPr>
      </w:pPr>
      <w:r>
        <w:rPr>
          <w:b/>
        </w:rPr>
        <w:t>Dissertation title: FDI Spillover Effects on Green Total Factor Productivity: Evidence from Vietnamese Provinces</w:t>
      </w:r>
    </w:p>
    <w:p w14:paraId="6B96936A" w14:textId="77777777" w:rsidR="00C959A2" w:rsidRPr="008854A3" w:rsidRDefault="00C959A2" w:rsidP="00C959A2">
      <w:pPr>
        <w:spacing w:before="60" w:line="264" w:lineRule="auto"/>
        <w:jc w:val="left"/>
      </w:pPr>
      <w:r>
        <w:t>Major: International Economics                        Program Code: 9310106</w:t>
      </w:r>
    </w:p>
    <w:p w14:paraId="0AA23FF9" w14:textId="77777777" w:rsidR="00C959A2" w:rsidRDefault="00C959A2" w:rsidP="00C959A2">
      <w:pPr>
        <w:spacing w:before="60" w:line="264" w:lineRule="auto"/>
        <w:jc w:val="left"/>
        <w:rPr>
          <w:b/>
        </w:rPr>
      </w:pPr>
      <w:r>
        <w:t>PhD candidate: Nguyen Thuy Trang</w:t>
      </w:r>
    </w:p>
    <w:p w14:paraId="0D7CEDAE" w14:textId="77777777" w:rsidR="00C959A2" w:rsidRPr="00070687" w:rsidRDefault="00C959A2" w:rsidP="00C959A2">
      <w:pPr>
        <w:spacing w:before="60" w:line="264" w:lineRule="auto"/>
        <w:jc w:val="left"/>
        <w:rPr>
          <w:b/>
        </w:rPr>
      </w:pPr>
      <w:r>
        <w:t>Supervisors: 1. Assoc. Prof. Dr. Nguyen Minh Ngoc    2. Assoc. Prof. Dr. Nguyen Xuan Hung</w:t>
      </w:r>
    </w:p>
    <w:p w14:paraId="0CB6E4DC" w14:textId="77777777" w:rsidR="00C959A2" w:rsidRPr="00905DDC" w:rsidRDefault="00C959A2" w:rsidP="00C959A2">
      <w:pPr>
        <w:spacing w:before="60" w:line="264" w:lineRule="auto"/>
        <w:jc w:val="left"/>
        <w:rPr>
          <w:lang w:val="vi-VN"/>
        </w:rPr>
      </w:pPr>
      <w:r>
        <w:t>Training institution:</w:t>
      </w:r>
      <w:r>
        <w:rPr>
          <w:lang w:val="vi-VN"/>
        </w:rPr>
        <w:t xml:space="preserve"> National Economics University</w:t>
      </w:r>
    </w:p>
    <w:p w14:paraId="5F768BAF" w14:textId="77777777" w:rsidR="00C959A2" w:rsidRDefault="00C959A2" w:rsidP="00C959A2">
      <w:pPr>
        <w:spacing w:before="60"/>
        <w:rPr>
          <w:b/>
          <w:spacing w:val="-2"/>
        </w:rPr>
      </w:pPr>
      <w:r>
        <w:rPr>
          <w:b/>
        </w:rPr>
        <w:t>New academic and theoretical contributions</w:t>
      </w:r>
    </w:p>
    <w:p w14:paraId="61D9A884" w14:textId="77777777" w:rsidR="00C959A2" w:rsidRDefault="00C959A2" w:rsidP="00C959A2">
      <w:pPr>
        <w:spacing w:before="60"/>
      </w:pPr>
      <w:r>
        <w:t xml:space="preserve">First, unlike previous studies that often assume FDI to be a homogeneous capital flow, the dissertation demonstrates the </w:t>
      </w:r>
      <w:r w:rsidRPr="00EC615B">
        <w:t>heterogeneity in the spillover mechanisms</w:t>
      </w:r>
      <w:r>
        <w:t xml:space="preserve"> of vertical FDI (VFDI) and horizontal FDI (HFDI) on green total factor productivity (GTFP). This decomposition not only helps resolve inconsistencies in prior findings but also provides evidence of positive green spillovers generated through vertical linkage networks, in contrast to the resource-crowding-out effects and pollution risks associated with market-seeking investment flows.</w:t>
      </w:r>
    </w:p>
    <w:p w14:paraId="7622B807" w14:textId="77777777" w:rsidR="00C959A2" w:rsidRPr="00AE6F0A" w:rsidRDefault="00C959A2" w:rsidP="00C959A2">
      <w:pPr>
        <w:spacing w:before="60"/>
        <w:rPr>
          <w:lang w:val="vi-VN"/>
        </w:rPr>
      </w:pPr>
      <w:r w:rsidRPr="00AE6F0A">
        <w:rPr>
          <w:lang w:val="vi-VN"/>
        </w:rPr>
        <w:t>Second, based on heterogeneous FDI flows, the dissertation further explains absorptive capacity theory by rejecting the assumption of a monotonically linear moderating role of human capital. By applying endogeneity-correction techniques within a nonlinear threshold model, it identifies the human-capital threshold, thereby showing that positive FDI spillovers do not occur automatically but only emerge when the local knowledge base exceeds a critical threshold.</w:t>
      </w:r>
    </w:p>
    <w:p w14:paraId="2CFAC9D9" w14:textId="77777777" w:rsidR="00C959A2" w:rsidRPr="00134C8B" w:rsidRDefault="00C959A2" w:rsidP="00C959A2">
      <w:pPr>
        <w:spacing w:before="60"/>
        <w:rPr>
          <w:lang w:val="vi-VN"/>
        </w:rPr>
      </w:pPr>
      <w:r w:rsidRPr="00134C8B">
        <w:rPr>
          <w:lang w:val="vi-VN"/>
        </w:rPr>
        <w:t>Third, by shifting from geography to economic space, the dissertation identifies GTFP spillover spatial asymmetry across FDI flows. Rather than simplifying regional spatial interactions, it identifies HFDI’s negative inter-provincial spillover mechanism and VFDI’s localized positive effects, affirming the role of regional linkage governance and environmental technical standards in mitigating regulatory competition through relaxed environmental standards.</w:t>
      </w:r>
    </w:p>
    <w:p w14:paraId="2C1E537D" w14:textId="77777777" w:rsidR="00C959A2" w:rsidRDefault="00C959A2" w:rsidP="00C959A2">
      <w:pPr>
        <w:spacing w:before="60"/>
        <w:rPr>
          <w:b/>
        </w:rPr>
      </w:pPr>
      <w:r>
        <w:rPr>
          <w:b/>
        </w:rPr>
        <w:t>New findings and proposals derived from the dissertation results</w:t>
      </w:r>
    </w:p>
    <w:p w14:paraId="2275AB18" w14:textId="77777777" w:rsidR="00C959A2" w:rsidRPr="00747944" w:rsidRDefault="00C959A2" w:rsidP="00C959A2">
      <w:pPr>
        <w:spacing w:before="60"/>
        <w:rPr>
          <w:lang w:val="vi-VN"/>
        </w:rPr>
      </w:pPr>
      <w:r w:rsidRPr="00747944">
        <w:rPr>
          <w:lang w:val="vi-VN"/>
        </w:rPr>
        <w:t>The research findings confirm the spillover mechanism through VFDI backward linkages (Javorcik, 2004) and HFDI’s crowding-out effect (Aitken &amp; Harrison, 1999) on GTFP. The empirical results are consistent with the implications of the pollution haven hypothesis, the capacity to identify, assimilate and internalize technological knowledge (Cohen &amp; Levinthal, 1990), and the spatial dependence of GTFP (Tobler, 1970). This consistency confirms the role of the division of labor in knowledge diffusion while warning against environmental degradation risks from resource- and energy-intensive capital flows.</w:t>
      </w:r>
    </w:p>
    <w:p w14:paraId="1731728A" w14:textId="77777777" w:rsidR="00C959A2" w:rsidRPr="00D24B3A" w:rsidRDefault="00C959A2" w:rsidP="00C959A2">
      <w:pPr>
        <w:spacing w:before="60"/>
        <w:rPr>
          <w:lang w:val="vi-VN"/>
        </w:rPr>
      </w:pPr>
      <w:r w:rsidRPr="00D24B3A">
        <w:rPr>
          <w:lang w:val="vi-VN"/>
        </w:rPr>
        <w:t>In addition, contrary to expectations regarding FDI’s demonstration effect (Caves, 1974) or spatially homogeneous spillovers, the dissertation shows that asymmetry and the human-capital threshold reverse the technology-spillover mechanism. The findings demonstrate that HFDI generates negative inter-provincial spillover effects, whereas VFDI benefits remain localized due to limited linkages between FDI firms and domestic suppliers. On this basis, the dissertation proposes improving the mechanism for selective investment screening and attraction in association with project life-cycle governance to improve green productivity and environmental-economic performance.</w:t>
      </w:r>
    </w:p>
    <w:p w14:paraId="5F03E229" w14:textId="77777777" w:rsidR="00C959A2" w:rsidRPr="006B0611" w:rsidRDefault="00C959A2" w:rsidP="00C959A2">
      <w:pPr>
        <w:spacing w:before="60"/>
        <w:rPr>
          <w:sz w:val="6"/>
          <w:szCs w:val="6"/>
        </w:rPr>
      </w:pPr>
    </w:p>
    <w:tbl>
      <w:tblPr>
        <w:tblW w:w="0" w:type="auto"/>
        <w:jc w:val="center"/>
        <w:tblLook w:val="01E0" w:firstRow="1" w:lastRow="1" w:firstColumn="1" w:lastColumn="1" w:noHBand="0" w:noVBand="0"/>
      </w:tblPr>
      <w:tblGrid>
        <w:gridCol w:w="4737"/>
        <w:gridCol w:w="4551"/>
      </w:tblGrid>
      <w:tr w:rsidR="00C959A2" w14:paraId="3DAAAF44" w14:textId="77777777" w:rsidTr="003160E0">
        <w:trPr>
          <w:jc w:val="center"/>
        </w:trPr>
        <w:tc>
          <w:tcPr>
            <w:tcW w:w="4737" w:type="dxa"/>
            <w:vAlign w:val="center"/>
          </w:tcPr>
          <w:p w14:paraId="33082A6B" w14:textId="77777777" w:rsidR="00C959A2" w:rsidRDefault="00C959A2" w:rsidP="003160E0">
            <w:pPr>
              <w:tabs>
                <w:tab w:val="left" w:pos="850"/>
                <w:tab w:val="left" w:pos="1191"/>
                <w:tab w:val="left" w:pos="1531"/>
              </w:tabs>
              <w:spacing w:before="0"/>
              <w:jc w:val="center"/>
              <w:rPr>
                <w:b/>
                <w:lang w:val="vi-VN"/>
              </w:rPr>
            </w:pPr>
            <w:r>
              <w:rPr>
                <w:b/>
              </w:rPr>
              <w:t>Supervisor</w:t>
            </w:r>
          </w:p>
          <w:p w14:paraId="5B501772" w14:textId="77777777" w:rsidR="00C959A2" w:rsidRPr="004073FE" w:rsidRDefault="00C959A2" w:rsidP="003160E0">
            <w:pPr>
              <w:tabs>
                <w:tab w:val="left" w:pos="850"/>
                <w:tab w:val="left" w:pos="1191"/>
                <w:tab w:val="left" w:pos="1531"/>
              </w:tabs>
              <w:spacing w:before="0"/>
              <w:jc w:val="center"/>
              <w:rPr>
                <w:b/>
              </w:rPr>
            </w:pPr>
            <w:r>
              <w:rPr>
                <w:b/>
              </w:rPr>
              <w:br/>
              <w:t>Assoc. Prof. Dr. Nguyen Minh Ngoc</w:t>
            </w:r>
          </w:p>
        </w:tc>
        <w:tc>
          <w:tcPr>
            <w:tcW w:w="4551" w:type="dxa"/>
            <w:vAlign w:val="center"/>
          </w:tcPr>
          <w:p w14:paraId="2AA062AE" w14:textId="77777777" w:rsidR="00C959A2" w:rsidRDefault="00C959A2" w:rsidP="003160E0">
            <w:pPr>
              <w:tabs>
                <w:tab w:val="left" w:pos="850"/>
                <w:tab w:val="left" w:pos="1191"/>
                <w:tab w:val="left" w:pos="1531"/>
              </w:tabs>
              <w:spacing w:before="0"/>
              <w:jc w:val="center"/>
              <w:rPr>
                <w:b/>
                <w:lang w:val="vi-VN"/>
              </w:rPr>
            </w:pPr>
            <w:r>
              <w:rPr>
                <w:b/>
              </w:rPr>
              <w:t>PhD candidate</w:t>
            </w:r>
          </w:p>
          <w:p w14:paraId="65F6871F" w14:textId="77777777" w:rsidR="00C959A2" w:rsidRPr="004073FE" w:rsidRDefault="00C959A2" w:rsidP="003160E0">
            <w:pPr>
              <w:tabs>
                <w:tab w:val="left" w:pos="850"/>
                <w:tab w:val="left" w:pos="1191"/>
                <w:tab w:val="left" w:pos="1531"/>
              </w:tabs>
              <w:spacing w:before="0"/>
              <w:jc w:val="center"/>
              <w:rPr>
                <w:b/>
              </w:rPr>
            </w:pPr>
            <w:r w:rsidRPr="006B0611">
              <w:rPr>
                <w:b/>
                <w:sz w:val="30"/>
                <w:szCs w:val="30"/>
              </w:rPr>
              <w:br/>
            </w:r>
            <w:r>
              <w:rPr>
                <w:b/>
              </w:rPr>
              <w:t>Nguyen Thuy Trang</w:t>
            </w:r>
          </w:p>
        </w:tc>
      </w:tr>
    </w:tbl>
    <w:p w14:paraId="5DAFF892" w14:textId="77777777" w:rsidR="008007E8" w:rsidRDefault="008007E8"/>
    <w:sectPr w:rsidR="008007E8" w:rsidSect="00C959A2">
      <w:pgSz w:w="11909" w:h="16834"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9A2"/>
    <w:rsid w:val="00540E44"/>
    <w:rsid w:val="008007E8"/>
    <w:rsid w:val="00C959A2"/>
    <w:rsid w:val="00E828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3E954"/>
  <w15:chartTrackingRefBased/>
  <w15:docId w15:val="{17D05DD7-8C90-4CE2-8A38-2120B34CC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59A2"/>
    <w:pPr>
      <w:spacing w:before="120" w:after="0" w:line="288" w:lineRule="auto"/>
      <w:jc w:val="both"/>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959A2"/>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959A2"/>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959A2"/>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959A2"/>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C959A2"/>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C959A2"/>
    <w:pPr>
      <w:keepNext/>
      <w:keepLines/>
      <w:spacing w:before="40" w:line="278" w:lineRule="auto"/>
      <w:jc w:val="left"/>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C959A2"/>
    <w:pPr>
      <w:keepNext/>
      <w:keepLines/>
      <w:spacing w:before="40" w:line="278" w:lineRule="auto"/>
      <w:jc w:val="left"/>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C959A2"/>
    <w:pPr>
      <w:keepNext/>
      <w:keepLines/>
      <w:spacing w:before="0" w:line="278" w:lineRule="auto"/>
      <w:jc w:val="left"/>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C959A2"/>
    <w:pPr>
      <w:keepNext/>
      <w:keepLines/>
      <w:spacing w:before="0" w:line="278" w:lineRule="auto"/>
      <w:jc w:val="left"/>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59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59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59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59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59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59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59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59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59A2"/>
    <w:rPr>
      <w:rFonts w:eastAsiaTheme="majorEastAsia" w:cstheme="majorBidi"/>
      <w:color w:val="272727" w:themeColor="text1" w:themeTint="D8"/>
    </w:rPr>
  </w:style>
  <w:style w:type="paragraph" w:styleId="Title">
    <w:name w:val="Title"/>
    <w:basedOn w:val="Normal"/>
    <w:next w:val="Normal"/>
    <w:link w:val="TitleChar"/>
    <w:uiPriority w:val="10"/>
    <w:qFormat/>
    <w:rsid w:val="00C959A2"/>
    <w:pPr>
      <w:spacing w:before="0"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959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59A2"/>
    <w:pPr>
      <w:numPr>
        <w:ilvl w:val="1"/>
      </w:numPr>
      <w:spacing w:before="0"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959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59A2"/>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C959A2"/>
    <w:rPr>
      <w:i/>
      <w:iCs/>
      <w:color w:val="404040" w:themeColor="text1" w:themeTint="BF"/>
    </w:rPr>
  </w:style>
  <w:style w:type="paragraph" w:styleId="ListParagraph">
    <w:name w:val="List Paragraph"/>
    <w:basedOn w:val="Normal"/>
    <w:uiPriority w:val="34"/>
    <w:qFormat/>
    <w:rsid w:val="00C959A2"/>
    <w:pPr>
      <w:spacing w:before="0" w:after="160" w:line="278" w:lineRule="auto"/>
      <w:ind w:left="720"/>
      <w:contextualSpacing/>
      <w:jc w:val="left"/>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C959A2"/>
    <w:rPr>
      <w:i/>
      <w:iCs/>
      <w:color w:val="0F4761" w:themeColor="accent1" w:themeShade="BF"/>
    </w:rPr>
  </w:style>
  <w:style w:type="paragraph" w:styleId="IntenseQuote">
    <w:name w:val="Intense Quote"/>
    <w:basedOn w:val="Normal"/>
    <w:next w:val="Normal"/>
    <w:link w:val="IntenseQuoteChar"/>
    <w:uiPriority w:val="30"/>
    <w:qFormat/>
    <w:rsid w:val="00C959A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C959A2"/>
    <w:rPr>
      <w:i/>
      <w:iCs/>
      <w:color w:val="0F4761" w:themeColor="accent1" w:themeShade="BF"/>
    </w:rPr>
  </w:style>
  <w:style w:type="character" w:styleId="IntenseReference">
    <w:name w:val="Intense Reference"/>
    <w:basedOn w:val="DefaultParagraphFont"/>
    <w:uiPriority w:val="32"/>
    <w:qFormat/>
    <w:rsid w:val="00C959A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498</Words>
  <Characters>2842</Characters>
  <Application>Microsoft Office Word</Application>
  <DocSecurity>0</DocSecurity>
  <Lines>23</Lines>
  <Paragraphs>6</Paragraphs>
  <ScaleCrop>false</ScaleCrop>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Giao Thi. Khanh Ngoc SDH</dc:creator>
  <cp:keywords/>
  <dc:description/>
  <cp:lastModifiedBy>Giao Thi. Khanh Ngoc SDH</cp:lastModifiedBy>
  <cp:revision>1</cp:revision>
  <dcterms:created xsi:type="dcterms:W3CDTF">2026-07-02T09:15:00Z</dcterms:created>
  <dcterms:modified xsi:type="dcterms:W3CDTF">2026-07-02T09:16:00Z</dcterms:modified>
</cp:coreProperties>
</file>