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F9840" w14:textId="77777777" w:rsidR="00512C35" w:rsidRDefault="00512C35" w:rsidP="00512C35">
      <w:pPr>
        <w:spacing w:after="120"/>
        <w:jc w:val="center"/>
        <w:rPr>
          <w:b/>
        </w:rPr>
      </w:pPr>
      <w:r>
        <w:rPr>
          <w:b/>
        </w:rPr>
        <w:t>NHỮNG ĐÓNG GÓP MỚI CỦA LUẬN ÁN</w:t>
      </w:r>
    </w:p>
    <w:p w14:paraId="25608D71" w14:textId="77777777" w:rsidR="00512C35" w:rsidRPr="008854A3" w:rsidRDefault="00512C35" w:rsidP="00512C35">
      <w:pPr>
        <w:spacing w:before="240" w:line="264" w:lineRule="auto"/>
        <w:rPr>
          <w:b/>
          <w:iCs/>
        </w:rPr>
      </w:pPr>
      <w:r>
        <w:rPr>
          <w:b/>
        </w:rPr>
        <w:t>Đề tài luận án</w:t>
      </w:r>
      <w:r>
        <w:t xml:space="preserve">: </w:t>
      </w:r>
      <w:r>
        <w:rPr>
          <w:b/>
          <w:i/>
          <w:iCs/>
        </w:rPr>
        <w:t>Ảnh hưởng của chất lượng báo cáo tài chính đến hiệu quả đầu tư của các doanh nghiệp niêm yết trên thị trường chứng khoán Việt Nam</w:t>
      </w:r>
    </w:p>
    <w:p w14:paraId="041EF8C1" w14:textId="77777777" w:rsidR="00512C35" w:rsidRPr="008854A3" w:rsidRDefault="00512C35" w:rsidP="00512C35">
      <w:pPr>
        <w:spacing w:before="60" w:line="264" w:lineRule="auto"/>
        <w:jc w:val="left"/>
      </w:pPr>
      <w:r>
        <w:t>Ngành đào tạo: Kế toán (Kế toán, kiểm toán và phân tích)</w:t>
      </w:r>
      <w:r>
        <w:tab/>
      </w:r>
      <w:r>
        <w:tab/>
        <w:t>Mã ngành:</w:t>
      </w:r>
      <w:r>
        <w:rPr>
          <w:rFonts w:ascii=".VnAvant" w:hAnsi=".VnAvant"/>
          <w:b/>
          <w:spacing w:val="-4"/>
          <w:lang w:val="it-IT"/>
        </w:rPr>
        <w:t xml:space="preserve"> </w:t>
      </w:r>
      <w:r>
        <w:t>9340301</w:t>
      </w:r>
    </w:p>
    <w:p w14:paraId="3339A947" w14:textId="77777777" w:rsidR="00512C35" w:rsidRDefault="00512C35" w:rsidP="00512C35">
      <w:pPr>
        <w:spacing w:before="60" w:line="264" w:lineRule="auto"/>
        <w:jc w:val="left"/>
        <w:rPr>
          <w:b/>
        </w:rPr>
      </w:pPr>
      <w:r>
        <w:t xml:space="preserve">Nghiên cứu sinh: </w:t>
      </w:r>
      <w:r>
        <w:rPr>
          <w:b/>
        </w:rPr>
        <w:t>Nguyễn Phương Linh</w:t>
      </w:r>
    </w:p>
    <w:p w14:paraId="461FE63A" w14:textId="77777777" w:rsidR="00512C35" w:rsidRPr="00070687" w:rsidRDefault="00512C35" w:rsidP="00512C35">
      <w:pPr>
        <w:spacing w:before="60" w:line="264" w:lineRule="auto"/>
        <w:jc w:val="left"/>
        <w:rPr>
          <w:b/>
        </w:rPr>
      </w:pPr>
      <w:r>
        <w:t xml:space="preserve">Người hướng dẫn: </w:t>
      </w:r>
      <w:r>
        <w:rPr>
          <w:b/>
        </w:rPr>
        <w:t xml:space="preserve">PGS.TS. Phạm Đức Cường  </w:t>
      </w:r>
    </w:p>
    <w:p w14:paraId="50D02C51" w14:textId="77777777" w:rsidR="00512C35" w:rsidRDefault="00512C35" w:rsidP="00512C35">
      <w:pPr>
        <w:spacing w:before="60" w:line="264" w:lineRule="auto"/>
        <w:jc w:val="left"/>
      </w:pPr>
      <w:r>
        <w:t xml:space="preserve">Cơ sở đào tạo: </w:t>
      </w:r>
      <w:sdt>
        <w:sdtPr>
          <w:id w:val="1124740468"/>
          <w:placeholder>
            <w:docPart w:val="53B6DF454B2C4F99923B53D6F282796A"/>
          </w:placeholder>
        </w:sdtPr>
        <w:sdtEndPr/>
        <w:sdtContent>
          <w:r>
            <w:t>Đại học Kinh tế Quốc dân</w:t>
          </w:r>
        </w:sdtContent>
      </w:sdt>
      <w:r>
        <w:t xml:space="preserve"> </w:t>
      </w:r>
    </w:p>
    <w:p w14:paraId="5D40F2D2" w14:textId="77777777" w:rsidR="00512C35" w:rsidRPr="00C948AA" w:rsidRDefault="00512C35" w:rsidP="00512C35">
      <w:pPr>
        <w:spacing w:before="240"/>
        <w:rPr>
          <w:b/>
          <w:spacing w:val="-2"/>
        </w:rPr>
      </w:pPr>
      <w:r w:rsidRPr="00C948AA">
        <w:rPr>
          <w:b/>
          <w:spacing w:val="-2"/>
        </w:rPr>
        <w:t xml:space="preserve">Những đóng góp mới về mặt học thuật, lý luận </w:t>
      </w:r>
    </w:p>
    <w:p w14:paraId="1FB04280" w14:textId="77777777" w:rsidR="00512C35" w:rsidRPr="00C948AA" w:rsidRDefault="00512C35" w:rsidP="00512C35">
      <w:pPr>
        <w:spacing w:line="312" w:lineRule="auto"/>
        <w:ind w:firstLine="706"/>
        <w:rPr>
          <w:lang w:val="pt-BR"/>
        </w:rPr>
      </w:pPr>
      <w:r w:rsidRPr="00C948AA">
        <w:rPr>
          <w:lang w:val="pt-BR"/>
        </w:rPr>
        <w:t>Thứ nhất, luận án chứng minh đầu tư dưới mức và đầu tư quá mức là biến trung gian</w:t>
      </w:r>
      <w:r>
        <w:rPr>
          <w:lang w:val="pt-BR"/>
        </w:rPr>
        <w:t xml:space="preserve"> một phần</w:t>
      </w:r>
      <w:r w:rsidRPr="00C948AA">
        <w:rPr>
          <w:lang w:val="pt-BR"/>
        </w:rPr>
        <w:t xml:space="preserve"> trong tác động của FRQ đến hiệu quả đầu tư của doanh nghiệp. Các biến này bổ sung cho lý thuyết hợp đồng của </w:t>
      </w:r>
      <w:r w:rsidRPr="00C948AA">
        <w:fldChar w:fldCharType="begin"/>
      </w:r>
      <w:r w:rsidRPr="00C948AA">
        <w:rPr>
          <w:lang w:val="pt-BR"/>
        </w:rPr>
        <w:instrText xml:space="preserve"> ADDIN EN.CITE &lt;EndNote&gt;&lt;Cite AuthorYear="1"&gt;&lt;Author&gt;Hart&lt;/Author&gt;&lt;Year&gt;1987&lt;/Year&gt;&lt;RecNum&gt;1865&lt;/RecNum&gt;&lt;DisplayText&gt;Hart &amp;amp; Holmström (1987)&lt;/DisplayText&gt;&lt;record&gt;&lt;rec-number&gt;1865&lt;/rec-number&gt;&lt;foreign-keys&gt;&lt;key app="EN" db-id="w0tf292f3s2026ed02oxx0e122wefx9d9sta" timestamp="1651485640"&gt;1865&lt;/key&gt;&lt;/foreign-keys&gt;&lt;ref-type name="Conference Proceedings"&gt;10&lt;/ref-type&gt;&lt;contributors&gt;&lt;authors&gt;&lt;author&gt;Hart, Oliver&lt;/author&gt;&lt;author&gt;Holmström, Bengt&lt;/author&gt;&lt;/authors&gt;&lt;/contributors&gt;&lt;titles&gt;&lt;title&gt;The theory of contracts&lt;/title&gt;&lt;secondary-title&gt;Advances in economic theory: Fifth world congress&lt;/secondary-title&gt;&lt;/titles&gt;&lt;volume&gt;1&lt;/volume&gt;&lt;dates&gt;&lt;year&gt;1987&lt;/year&gt;&lt;/dates&gt;&lt;publisher&gt;Cambridge&lt;/publisher&gt;&lt;urls&gt;&lt;/urls&gt;&lt;/record&gt;&lt;/Cite&gt;&lt;/EndNote&gt;</w:instrText>
      </w:r>
      <w:r w:rsidRPr="00C948AA">
        <w:fldChar w:fldCharType="separate"/>
      </w:r>
      <w:r w:rsidRPr="00C948AA">
        <w:rPr>
          <w:noProof/>
          <w:lang w:val="pt-BR"/>
        </w:rPr>
        <w:t>Hart &amp; Holmström (1987)</w:t>
      </w:r>
      <w:r w:rsidRPr="00C948AA">
        <w:fldChar w:fldCharType="end"/>
      </w:r>
      <w:r w:rsidRPr="00C948AA">
        <w:rPr>
          <w:lang w:val="pt-BR"/>
        </w:rPr>
        <w:t xml:space="preserve"> và lý thuyết đại diện của </w:t>
      </w:r>
      <w:r w:rsidRPr="00C948AA">
        <w:fldChar w:fldCharType="begin"/>
      </w:r>
      <w:r w:rsidRPr="00C948AA">
        <w:rPr>
          <w:lang w:val="pt-BR"/>
        </w:rPr>
        <w:instrText xml:space="preserve"> ADDIN EN.CITE &lt;EndNote&gt;&lt;Cite AuthorYear="1"&gt;&lt;Author&gt;Jensen&lt;/Author&gt;&lt;Year&gt;1976&lt;/Year&gt;&lt;RecNum&gt;1777&lt;/RecNum&gt;&lt;DisplayText&gt;Jensen &amp;amp; Meckling (1976)&lt;/DisplayText&gt;&lt;record&gt;&lt;rec-number&gt;1777&lt;/rec-number&gt;&lt;foreign-keys&gt;&lt;key app="EN" db-id="w0tf292f3s2026ed02oxx0e122wefx9d9sta" timestamp="1651457719"&gt;1777&lt;/key&gt;&lt;/foreign-keys&gt;&lt;ref-type name="Journal Article"&gt;17&lt;/ref-type&gt;&lt;contributors&gt;&lt;authors&gt;&lt;author&gt;Jensen, Michael C&lt;/author&gt;&lt;author&gt;Meckling, William H&lt;/author&gt;&lt;/authors&gt;&lt;/contributors&gt;&lt;titles&gt;&lt;title&gt;Theory of the firm: Managerial behavior, agency costs and ownership structure&lt;/title&gt;&lt;secondary-title&gt;Journal of financial economics&lt;/secondary-title&gt;&lt;/titles&gt;&lt;periodical&gt;&lt;full-title&gt;Journal of Financial Economics&lt;/full-title&gt;&lt;/periodical&gt;&lt;pages&gt;305-360&lt;/pages&gt;&lt;volume&gt;3&lt;/volume&gt;&lt;number&gt;4&lt;/number&gt;&lt;dates&gt;&lt;year&gt;1976&lt;/year&gt;&lt;/dates&gt;&lt;isbn&gt;0304-405X&lt;/isbn&gt;&lt;urls&gt;&lt;/urls&gt;&lt;electronic-resource-num&gt;https://doi.org/10.1016/0304-405X(76)90026-X&lt;/electronic-resource-num&gt;&lt;/record&gt;&lt;/Cite&gt;&lt;/EndNote&gt;</w:instrText>
      </w:r>
      <w:r w:rsidRPr="00C948AA">
        <w:fldChar w:fldCharType="separate"/>
      </w:r>
      <w:r w:rsidRPr="00C948AA">
        <w:rPr>
          <w:noProof/>
          <w:lang w:val="pt-BR"/>
        </w:rPr>
        <w:t>Jensen &amp; Meckling (1976)</w:t>
      </w:r>
      <w:r w:rsidRPr="00C948AA">
        <w:fldChar w:fldCharType="end"/>
      </w:r>
      <w:r w:rsidRPr="00C948AA">
        <w:rPr>
          <w:lang w:val="pt-BR"/>
        </w:rPr>
        <w:t xml:space="preserve"> trong việc minh chứng rằng FRQ có thể ảnh hưởng đến hiệu quả đầu tư.</w:t>
      </w:r>
    </w:p>
    <w:p w14:paraId="47F3E4AB" w14:textId="77777777" w:rsidR="00512C35" w:rsidRPr="00C948AA" w:rsidRDefault="00512C35" w:rsidP="00512C35">
      <w:pPr>
        <w:spacing w:line="312" w:lineRule="auto"/>
        <w:ind w:firstLine="706"/>
        <w:rPr>
          <w:lang w:val="pt-BR"/>
        </w:rPr>
      </w:pPr>
      <w:r w:rsidRPr="00C948AA">
        <w:rPr>
          <w:lang w:val="pt-BR"/>
        </w:rPr>
        <w:t xml:space="preserve">FRQ được tính toán dựa trên </w:t>
      </w:r>
      <w:r>
        <w:rPr>
          <w:lang w:val="pt-BR"/>
        </w:rPr>
        <w:t>3</w:t>
      </w:r>
      <w:r w:rsidRPr="00C948AA">
        <w:rPr>
          <w:lang w:val="pt-BR"/>
        </w:rPr>
        <w:t xml:space="preserve"> thang đo khác nhau nhằm bổ sung cho các cách tiếp cận từ nguồn vốn (đại diện bởi </w:t>
      </w:r>
      <w:r w:rsidRPr="00C948AA">
        <w:fldChar w:fldCharType="begin"/>
      </w:r>
      <w:r w:rsidRPr="00C948AA">
        <w:rPr>
          <w:lang w:val="pt-BR"/>
        </w:rPr>
        <w:instrText xml:space="preserve"> ADDIN EN.CITE &lt;EndNote&gt;&lt;Cite AuthorYear="1"&gt;&lt;Author&gt;Kasznik&lt;/Author&gt;&lt;Year&gt;1999&lt;/Year&gt;&lt;RecNum&gt;1898&lt;/RecNum&gt;&lt;DisplayText&gt;Kasznik (1999)&lt;/DisplayText&gt;&lt;record&gt;&lt;rec-number&gt;1898&lt;/rec-number&gt;&lt;foreign-keys&gt;&lt;key app="EN" db-id="w0tf292f3s2026ed02oxx0e122wefx9d9sta" timestamp="1659426050"&gt;1898&lt;/key&gt;&lt;/foreign-keys&gt;&lt;ref-type name="Journal Article"&gt;17&lt;/ref-type&gt;&lt;contributors&gt;&lt;authors&gt;&lt;author&gt;Kasznik, Ron&lt;/author&gt;&lt;/authors&gt;&lt;/contributors&gt;&lt;titles&gt;&lt;title&gt;On the association between voluntary disclosure and earnings management&lt;/title&gt;&lt;secondary-title&gt;Journal of accounting research&lt;/secondary-title&gt;&lt;/titles&gt;&lt;periodical&gt;&lt;full-title&gt;Journal of Accounting Research&lt;/full-title&gt;&lt;/periodical&gt;&lt;pages&gt;57-81&lt;/pages&gt;&lt;volume&gt;37&lt;/volume&gt;&lt;number&gt;1&lt;/number&gt;&lt;dates&gt;&lt;year&gt;1999&lt;/year&gt;&lt;/dates&gt;&lt;isbn&gt;0021-8456&lt;/isbn&gt;&lt;urls&gt;&lt;/urls&gt;&lt;/record&gt;&lt;/Cite&gt;&lt;/EndNote&gt;</w:instrText>
      </w:r>
      <w:r w:rsidRPr="00C948AA">
        <w:fldChar w:fldCharType="separate"/>
      </w:r>
      <w:r w:rsidRPr="00C948AA">
        <w:rPr>
          <w:noProof/>
          <w:lang w:val="pt-BR"/>
        </w:rPr>
        <w:t>Kasznik (1999)</w:t>
      </w:r>
      <w:r w:rsidRPr="00C948AA">
        <w:fldChar w:fldCharType="end"/>
      </w:r>
      <w:r w:rsidRPr="00C948AA">
        <w:rPr>
          <w:lang w:val="pt-BR"/>
        </w:rPr>
        <w:t xml:space="preserve">) và dòng tiền cũng như doanh thu (đại diện bởi </w:t>
      </w:r>
      <w:r w:rsidRPr="00C948AA">
        <w:fldChar w:fldCharType="begin"/>
      </w:r>
      <w:r w:rsidRPr="00C948AA">
        <w:rPr>
          <w:lang w:val="pt-BR"/>
        </w:rPr>
        <w:instrText xml:space="preserve"> ADDIN EN.CITE &lt;EndNote&gt;&lt;Cite AuthorYear="1"&gt;&lt;Author&gt;Dechow&lt;/Author&gt;&lt;Year&gt;2002&lt;/Year&gt;&lt;RecNum&gt;1900&lt;/RecNum&gt;&lt;DisplayText&gt;Dechow &amp;amp; Dichev (2002)&lt;/DisplayText&gt;&lt;record&gt;&lt;rec-number&gt;1900&lt;/rec-number&gt;&lt;foreign-keys&gt;&lt;key app="EN" db-id="w0tf292f3s2026ed02oxx0e122wefx9d9sta" timestamp="1659426144"&gt;1900&lt;/key&gt;&lt;/foreign-keys&gt;&lt;ref-type name="Journal Article"&gt;17&lt;/ref-type&gt;&lt;contributors&gt;&lt;authors&gt;&lt;author&gt;Dechow, Patricia M&lt;/author&gt;&lt;author&gt;Dichev, Ilia D&lt;/author&gt;&lt;/authors&gt;&lt;/contributors&gt;&lt;titles&gt;&lt;title&gt;The quality of accruals and earnings: The role of accrual estimation errors&lt;/title&gt;&lt;secondary-title&gt;The accounting review&lt;/secondary-title&gt;&lt;/titles&gt;&lt;periodical&gt;&lt;full-title&gt;The accounting review&lt;/full-title&gt;&lt;/periodical&gt;&lt;pages&gt;35-59&lt;/pages&gt;&lt;volume&gt;77&lt;/volume&gt;&lt;number&gt;s-1&lt;/number&gt;&lt;dates&gt;&lt;year&gt;2002&lt;/year&gt;&lt;/dates&gt;&lt;isbn&gt;0001-4826&lt;/isbn&gt;&lt;urls&gt;&lt;/urls&gt;&lt;/record&gt;&lt;/Cite&gt;&lt;/EndNote&gt;</w:instrText>
      </w:r>
      <w:r w:rsidRPr="00C948AA">
        <w:fldChar w:fldCharType="separate"/>
      </w:r>
      <w:r w:rsidRPr="00C948AA">
        <w:rPr>
          <w:noProof/>
          <w:lang w:val="pt-BR"/>
        </w:rPr>
        <w:t>Dechow &amp; Dichev (2002)</w:t>
      </w:r>
      <w:r w:rsidRPr="00C948AA">
        <w:fldChar w:fldCharType="end"/>
      </w:r>
      <w:r w:rsidRPr="00C948AA">
        <w:rPr>
          <w:lang w:val="pt-BR"/>
        </w:rPr>
        <w:t xml:space="preserve"> và </w:t>
      </w:r>
      <w:r w:rsidRPr="00C948AA">
        <w:fldChar w:fldCharType="begin"/>
      </w:r>
      <w:r w:rsidRPr="00C948AA">
        <w:rPr>
          <w:lang w:val="pt-BR"/>
        </w:rPr>
        <w:instrText xml:space="preserve"> ADDIN EN.CITE &lt;EndNote&gt;&lt;Cite AuthorYear="1"&gt;&lt;Author&gt;McNichols&lt;/Author&gt;&lt;Year&gt;2008&lt;/Year&gt;&lt;RecNum&gt;2758&lt;/RecNum&gt;&lt;DisplayText&gt;McNichols &amp;amp; Stubben (2008)&lt;/DisplayText&gt;&lt;record&gt;&lt;rec-number&gt;2758&lt;/rec-number&gt;&lt;foreign-keys&gt;&lt;key app="EN" db-id="w0tf292f3s2026ed02oxx0e122wefx9d9sta" timestamp="1705729730"&gt;2758&lt;/key&gt;&lt;/foreign-keys&gt;&lt;ref-type name="Journal Article"&gt;17&lt;/ref-type&gt;&lt;contributors&gt;&lt;authors&gt;&lt;author&gt;McNichols, Maureen F&lt;/author&gt;&lt;author&gt;Stubben, Stephen R&lt;/author&gt;&lt;/authors&gt;&lt;/contributors&gt;&lt;titles&gt;&lt;title&gt;Does earnings management affect firms’ investment decisions?&lt;/title&gt;&lt;secondary-title&gt;The accounting review&lt;/secondary-title&gt;&lt;/titles&gt;&lt;periodical&gt;&lt;full-title&gt;The accounting review&lt;/full-title&gt;&lt;/periodical&gt;&lt;pages&gt;1571-1603&lt;/pages&gt;&lt;volume&gt;83&lt;/volume&gt;&lt;number&gt;6&lt;/number&gt;&lt;dates&gt;&lt;year&gt;2008&lt;/year&gt;&lt;/dates&gt;&lt;isbn&gt;0001-4826&lt;/isbn&gt;&lt;urls&gt;&lt;/urls&gt;&lt;electronic-resource-num&gt;https://doi.org/10.2308/accr.2008.83.6.1571&lt;/electronic-resource-num&gt;&lt;/record&gt;&lt;/Cite&gt;&lt;/EndNote&gt;</w:instrText>
      </w:r>
      <w:r w:rsidRPr="00C948AA">
        <w:fldChar w:fldCharType="separate"/>
      </w:r>
      <w:r w:rsidRPr="00C948AA">
        <w:rPr>
          <w:noProof/>
          <w:lang w:val="pt-BR"/>
        </w:rPr>
        <w:t>McNichols &amp; Stubben (2008)</w:t>
      </w:r>
      <w:r w:rsidRPr="00C948AA">
        <w:fldChar w:fldCharType="end"/>
      </w:r>
      <w:r w:rsidRPr="00C948AA">
        <w:rPr>
          <w:lang w:val="pt-BR"/>
        </w:rPr>
        <w:t xml:space="preserve">). Các thang đo này đã bổ sung cho lý thuyết đại diện cũng như giải thích thêm cho </w:t>
      </w:r>
      <w:r>
        <w:rPr>
          <w:lang w:val="pt-BR"/>
        </w:rPr>
        <w:t xml:space="preserve">lý thuyết hợp đồng và </w:t>
      </w:r>
      <w:r w:rsidRPr="00C948AA">
        <w:rPr>
          <w:lang w:val="pt-BR"/>
        </w:rPr>
        <w:t>lý thuyết hợp pháp</w:t>
      </w:r>
    </w:p>
    <w:p w14:paraId="7298487D" w14:textId="77777777" w:rsidR="00512C35" w:rsidRPr="002A3BC6" w:rsidRDefault="00512C35" w:rsidP="00512C35">
      <w:pPr>
        <w:rPr>
          <w:b/>
          <w:lang w:val="pt-BR"/>
        </w:rPr>
      </w:pPr>
      <w:r w:rsidRPr="002A3BC6">
        <w:rPr>
          <w:b/>
          <w:lang w:val="pt-BR"/>
        </w:rPr>
        <w:t xml:space="preserve">Những phát hiện, đề xuất mới rút ra được từ kết quả nghiên cứu, khảo sát của luận án </w:t>
      </w:r>
    </w:p>
    <w:p w14:paraId="5721D17B" w14:textId="77777777" w:rsidR="00512C35" w:rsidRPr="00C948AA" w:rsidRDefault="00512C35" w:rsidP="00512C35">
      <w:pPr>
        <w:spacing w:line="312" w:lineRule="auto"/>
        <w:ind w:firstLine="706"/>
        <w:rPr>
          <w:lang w:val="pt-BR"/>
        </w:rPr>
      </w:pPr>
      <w:r w:rsidRPr="00C948AA">
        <w:rPr>
          <w:lang w:val="pt-BR"/>
        </w:rPr>
        <w:t xml:space="preserve">Thứ nhất, luận án đã minh chứng được FRQ có ảnh hưởng tích cực đến hiệu quả đầu tư của doanh nghiệp theo </w:t>
      </w:r>
      <w:r>
        <w:rPr>
          <w:lang w:val="pt-BR"/>
        </w:rPr>
        <w:t>2</w:t>
      </w:r>
      <w:r w:rsidRPr="00C948AA">
        <w:rPr>
          <w:lang w:val="pt-BR"/>
        </w:rPr>
        <w:t xml:space="preserve"> phương pháp tính toán. Điều này giải thích được rằng, dù tiếp cận theo hướng nguồn vốn hay dòng tiền, chỉ cần có FRQ phù hợp, các doanh nghiệp cũng có thể có hiệu quả đầu tư cao hơn.</w:t>
      </w:r>
    </w:p>
    <w:p w14:paraId="476E2F14" w14:textId="77777777" w:rsidR="00512C35" w:rsidRPr="00C948AA" w:rsidRDefault="00512C35" w:rsidP="00512C35">
      <w:pPr>
        <w:spacing w:line="312" w:lineRule="auto"/>
        <w:ind w:firstLine="706"/>
        <w:rPr>
          <w:lang w:val="pt-BR"/>
        </w:rPr>
      </w:pPr>
      <w:r w:rsidRPr="00C948AA">
        <w:rPr>
          <w:lang w:val="pt-BR"/>
        </w:rPr>
        <w:t>Thứ hai, FRQ giúp làm giảm tình trạng đầu tư dưới mức. Luận án đưa ra luận giải rằng FRQ sẽ làm cho các đối tác của doanh nghiệp giảm thiểu thông tin bất cân xứng, và từ đó hiệu quả đầu tư sẽ cao hơn</w:t>
      </w:r>
      <w:r>
        <w:rPr>
          <w:lang w:val="pt-BR"/>
        </w:rPr>
        <w:t xml:space="preserve"> do tăng nguồn vốn cũng như bớt các thủ tục khi vay vốn tại các ngân hàng thương mại.</w:t>
      </w:r>
    </w:p>
    <w:p w14:paraId="6910F279" w14:textId="77777777" w:rsidR="00512C35" w:rsidRPr="00C948AA" w:rsidRDefault="00512C35" w:rsidP="00512C35">
      <w:pPr>
        <w:spacing w:line="312" w:lineRule="auto"/>
        <w:ind w:firstLine="706"/>
        <w:rPr>
          <w:lang w:val="pt-BR"/>
        </w:rPr>
      </w:pPr>
      <w:r w:rsidRPr="00C948AA">
        <w:rPr>
          <w:lang w:val="pt-BR"/>
        </w:rPr>
        <w:t>Thứ ba, luận án đưa ra các hàm ý chính sách đối với các doanh nghiệp như chủ động hơn trong việc công bố báo cáo tài chính gắn với chuẩn mực ESG, các sàn chứng khoán phải giám sát chặt chẽ hơn và phải công bố báo cáo giám sát, cũng như sự hỗ trợ của nhà nước nhằm tăng chất lượng báo cáo tài chính.</w:t>
      </w:r>
    </w:p>
    <w:p w14:paraId="4A32EE7D" w14:textId="77777777" w:rsidR="00512C35" w:rsidRPr="002A3BC6" w:rsidRDefault="00512C35" w:rsidP="00512C35">
      <w:pPr>
        <w:rPr>
          <w:lang w:val="pt-BR"/>
        </w:rPr>
      </w:pPr>
    </w:p>
    <w:tbl>
      <w:tblPr>
        <w:tblW w:w="0" w:type="auto"/>
        <w:jc w:val="center"/>
        <w:tblLook w:val="01E0" w:firstRow="1" w:lastRow="1" w:firstColumn="1" w:lastColumn="1" w:noHBand="0" w:noVBand="0"/>
      </w:tblPr>
      <w:tblGrid>
        <w:gridCol w:w="4628"/>
        <w:gridCol w:w="4446"/>
      </w:tblGrid>
      <w:tr w:rsidR="00512C35" w14:paraId="16000923" w14:textId="77777777" w:rsidTr="001C4C7F">
        <w:trPr>
          <w:jc w:val="center"/>
        </w:trPr>
        <w:tc>
          <w:tcPr>
            <w:tcW w:w="4737" w:type="dxa"/>
            <w:vAlign w:val="center"/>
          </w:tcPr>
          <w:p w14:paraId="1EF405C8" w14:textId="77777777" w:rsidR="00512C35" w:rsidRPr="002A3BC6" w:rsidRDefault="00512C35" w:rsidP="001C4C7F">
            <w:pPr>
              <w:tabs>
                <w:tab w:val="left" w:pos="850"/>
                <w:tab w:val="left" w:pos="1191"/>
                <w:tab w:val="left" w:pos="1531"/>
              </w:tabs>
              <w:spacing w:before="0"/>
              <w:jc w:val="center"/>
              <w:rPr>
                <w:b/>
                <w:lang w:val="pt-BR"/>
              </w:rPr>
            </w:pPr>
            <w:r w:rsidRPr="002A3BC6">
              <w:rPr>
                <w:b/>
                <w:lang w:val="pt-BR"/>
              </w:rPr>
              <w:t>Người hướng dẫn</w:t>
            </w:r>
          </w:p>
          <w:p w14:paraId="128E915E" w14:textId="77777777" w:rsidR="00512C35" w:rsidRPr="002A3BC6" w:rsidRDefault="00512C35" w:rsidP="001C4C7F">
            <w:pPr>
              <w:tabs>
                <w:tab w:val="left" w:pos="850"/>
                <w:tab w:val="left" w:pos="1191"/>
                <w:tab w:val="left" w:pos="1531"/>
              </w:tabs>
              <w:spacing w:before="0"/>
              <w:jc w:val="center"/>
              <w:rPr>
                <w:i/>
                <w:lang w:val="pt-BR"/>
              </w:rPr>
            </w:pPr>
            <w:r w:rsidRPr="002A3BC6">
              <w:rPr>
                <w:i/>
                <w:lang w:val="pt-BR"/>
              </w:rPr>
              <w:t>(Ký và ghi rõ họ tên)</w:t>
            </w:r>
          </w:p>
          <w:p w14:paraId="026B701C" w14:textId="77777777" w:rsidR="00512C35" w:rsidRPr="002A3BC6" w:rsidRDefault="00512C35" w:rsidP="001C4C7F">
            <w:pPr>
              <w:tabs>
                <w:tab w:val="left" w:pos="850"/>
                <w:tab w:val="left" w:pos="1191"/>
                <w:tab w:val="left" w:pos="1531"/>
              </w:tabs>
              <w:spacing w:before="0"/>
              <w:jc w:val="center"/>
              <w:rPr>
                <w:i/>
                <w:lang w:val="pt-BR"/>
              </w:rPr>
            </w:pPr>
          </w:p>
          <w:p w14:paraId="6EB8950C" w14:textId="77777777" w:rsidR="00512C35" w:rsidRPr="002A3BC6" w:rsidRDefault="00512C35" w:rsidP="001C4C7F">
            <w:pPr>
              <w:tabs>
                <w:tab w:val="left" w:pos="850"/>
                <w:tab w:val="left" w:pos="1191"/>
                <w:tab w:val="left" w:pos="1531"/>
              </w:tabs>
              <w:spacing w:before="0"/>
              <w:jc w:val="center"/>
              <w:rPr>
                <w:i/>
                <w:lang w:val="pt-BR"/>
              </w:rPr>
            </w:pPr>
          </w:p>
          <w:p w14:paraId="3A3AD404" w14:textId="77777777" w:rsidR="00512C35" w:rsidRPr="002A3BC6" w:rsidRDefault="00512C35" w:rsidP="001C4C7F">
            <w:pPr>
              <w:tabs>
                <w:tab w:val="left" w:pos="850"/>
                <w:tab w:val="left" w:pos="1191"/>
                <w:tab w:val="left" w:pos="1531"/>
              </w:tabs>
              <w:spacing w:before="0"/>
              <w:jc w:val="center"/>
              <w:rPr>
                <w:i/>
                <w:lang w:val="pt-BR"/>
              </w:rPr>
            </w:pPr>
          </w:p>
          <w:p w14:paraId="7DE46229" w14:textId="77777777" w:rsidR="00512C35" w:rsidRPr="002A3BC6" w:rsidRDefault="00512C35" w:rsidP="001C4C7F">
            <w:pPr>
              <w:tabs>
                <w:tab w:val="left" w:pos="850"/>
                <w:tab w:val="left" w:pos="1191"/>
                <w:tab w:val="left" w:pos="1531"/>
              </w:tabs>
              <w:spacing w:before="0"/>
              <w:jc w:val="center"/>
              <w:rPr>
                <w:i/>
                <w:lang w:val="pt-BR"/>
              </w:rPr>
            </w:pPr>
            <w:r w:rsidRPr="002A3BC6">
              <w:rPr>
                <w:b/>
                <w:lang w:val="pt-BR"/>
              </w:rPr>
              <w:t>PGS.TS. Phạm Đức Cường</w:t>
            </w:r>
          </w:p>
        </w:tc>
        <w:tc>
          <w:tcPr>
            <w:tcW w:w="4551" w:type="dxa"/>
            <w:vAlign w:val="center"/>
          </w:tcPr>
          <w:p w14:paraId="3D96AE63" w14:textId="77777777" w:rsidR="00512C35" w:rsidRPr="002A3BC6" w:rsidRDefault="00512C35" w:rsidP="001C4C7F">
            <w:pPr>
              <w:tabs>
                <w:tab w:val="left" w:pos="850"/>
                <w:tab w:val="left" w:pos="1191"/>
                <w:tab w:val="left" w:pos="1531"/>
              </w:tabs>
              <w:spacing w:before="0"/>
              <w:jc w:val="center"/>
              <w:rPr>
                <w:b/>
                <w:lang w:val="pt-BR"/>
              </w:rPr>
            </w:pPr>
            <w:r w:rsidRPr="002A3BC6">
              <w:rPr>
                <w:b/>
                <w:lang w:val="pt-BR"/>
              </w:rPr>
              <w:t>Nghiên cứu sinh</w:t>
            </w:r>
          </w:p>
          <w:p w14:paraId="58ACF098" w14:textId="77777777" w:rsidR="00512C35" w:rsidRPr="002A3BC6" w:rsidRDefault="00512C35" w:rsidP="001C4C7F">
            <w:pPr>
              <w:tabs>
                <w:tab w:val="left" w:pos="850"/>
                <w:tab w:val="left" w:pos="1191"/>
                <w:tab w:val="left" w:pos="1531"/>
              </w:tabs>
              <w:spacing w:before="0"/>
              <w:jc w:val="center"/>
              <w:rPr>
                <w:i/>
                <w:lang w:val="pt-BR"/>
              </w:rPr>
            </w:pPr>
            <w:r w:rsidRPr="002A3BC6">
              <w:rPr>
                <w:i/>
                <w:lang w:val="pt-BR"/>
              </w:rPr>
              <w:t>(Ký và ghi rõ họ tên)</w:t>
            </w:r>
          </w:p>
          <w:p w14:paraId="7D96CEE2" w14:textId="77777777" w:rsidR="00512C35" w:rsidRPr="002A3BC6" w:rsidRDefault="00512C35" w:rsidP="001C4C7F">
            <w:pPr>
              <w:tabs>
                <w:tab w:val="left" w:pos="850"/>
                <w:tab w:val="left" w:pos="1191"/>
                <w:tab w:val="left" w:pos="1531"/>
              </w:tabs>
              <w:spacing w:before="0"/>
              <w:jc w:val="center"/>
              <w:rPr>
                <w:i/>
                <w:lang w:val="pt-BR"/>
              </w:rPr>
            </w:pPr>
          </w:p>
          <w:p w14:paraId="1D8BA1E0" w14:textId="77777777" w:rsidR="00512C35" w:rsidRPr="002A3BC6" w:rsidRDefault="00512C35" w:rsidP="001C4C7F">
            <w:pPr>
              <w:tabs>
                <w:tab w:val="left" w:pos="850"/>
                <w:tab w:val="left" w:pos="1191"/>
                <w:tab w:val="left" w:pos="1531"/>
              </w:tabs>
              <w:spacing w:before="0"/>
              <w:jc w:val="center"/>
              <w:rPr>
                <w:i/>
                <w:lang w:val="pt-BR"/>
              </w:rPr>
            </w:pPr>
          </w:p>
          <w:p w14:paraId="10CDC5E6" w14:textId="77777777" w:rsidR="00512C35" w:rsidRPr="002A3BC6" w:rsidRDefault="00512C35" w:rsidP="001C4C7F">
            <w:pPr>
              <w:tabs>
                <w:tab w:val="left" w:pos="850"/>
                <w:tab w:val="left" w:pos="1191"/>
                <w:tab w:val="left" w:pos="1531"/>
              </w:tabs>
              <w:spacing w:before="0"/>
              <w:jc w:val="center"/>
              <w:rPr>
                <w:i/>
                <w:lang w:val="pt-BR"/>
              </w:rPr>
            </w:pPr>
          </w:p>
          <w:p w14:paraId="412DD2E2" w14:textId="77777777" w:rsidR="00512C35" w:rsidRDefault="00512C35" w:rsidP="001C4C7F">
            <w:pPr>
              <w:tabs>
                <w:tab w:val="left" w:pos="850"/>
                <w:tab w:val="left" w:pos="1191"/>
                <w:tab w:val="left" w:pos="1531"/>
              </w:tabs>
              <w:spacing w:before="0"/>
              <w:jc w:val="center"/>
              <w:rPr>
                <w:i/>
              </w:rPr>
            </w:pPr>
            <w:r>
              <w:rPr>
                <w:b/>
              </w:rPr>
              <w:t>Nguyễn Phương Linh</w:t>
            </w:r>
          </w:p>
        </w:tc>
      </w:tr>
    </w:tbl>
    <w:p w14:paraId="29F346D2" w14:textId="77777777" w:rsidR="00512C35" w:rsidRDefault="00512C35"/>
    <w:sectPr w:rsidR="00512C35" w:rsidSect="003145FC">
      <w:pgSz w:w="11909" w:h="16834"/>
      <w:pgMar w:top="1134" w:right="1134"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35"/>
    <w:rsid w:val="000D6E8D"/>
    <w:rsid w:val="002022AC"/>
    <w:rsid w:val="003145FC"/>
    <w:rsid w:val="004E70E0"/>
    <w:rsid w:val="00512C35"/>
    <w:rsid w:val="006F5BFC"/>
    <w:rsid w:val="00805995"/>
    <w:rsid w:val="0083606E"/>
    <w:rsid w:val="00A31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88785"/>
  <w15:chartTrackingRefBased/>
  <w15:docId w15:val="{B7A96ECA-915F-47AA-8371-F21FAB1E9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C35"/>
    <w:pPr>
      <w:spacing w:before="120" w:after="0" w:line="288" w:lineRule="auto"/>
      <w:jc w:val="both"/>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9"/>
    <w:qFormat/>
    <w:rsid w:val="00512C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2C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2C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2C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2C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2C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2C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2C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2C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C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2C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2C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2C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2C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2C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2C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2C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2C35"/>
    <w:rPr>
      <w:rFonts w:eastAsiaTheme="majorEastAsia" w:cstheme="majorBidi"/>
      <w:color w:val="272727" w:themeColor="text1" w:themeTint="D8"/>
    </w:rPr>
  </w:style>
  <w:style w:type="paragraph" w:styleId="Title">
    <w:name w:val="Title"/>
    <w:basedOn w:val="Normal"/>
    <w:next w:val="Normal"/>
    <w:link w:val="TitleChar"/>
    <w:uiPriority w:val="10"/>
    <w:qFormat/>
    <w:rsid w:val="00512C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2C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2C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2C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2C35"/>
    <w:pPr>
      <w:spacing w:before="160"/>
      <w:jc w:val="center"/>
    </w:pPr>
    <w:rPr>
      <w:i/>
      <w:iCs/>
      <w:color w:val="404040" w:themeColor="text1" w:themeTint="BF"/>
    </w:rPr>
  </w:style>
  <w:style w:type="character" w:customStyle="1" w:styleId="QuoteChar">
    <w:name w:val="Quote Char"/>
    <w:basedOn w:val="DefaultParagraphFont"/>
    <w:link w:val="Quote"/>
    <w:uiPriority w:val="29"/>
    <w:rsid w:val="00512C35"/>
    <w:rPr>
      <w:i/>
      <w:iCs/>
      <w:color w:val="404040" w:themeColor="text1" w:themeTint="BF"/>
    </w:rPr>
  </w:style>
  <w:style w:type="paragraph" w:styleId="ListParagraph">
    <w:name w:val="List Paragraph"/>
    <w:basedOn w:val="Normal"/>
    <w:uiPriority w:val="34"/>
    <w:qFormat/>
    <w:rsid w:val="00512C35"/>
    <w:pPr>
      <w:ind w:left="720"/>
      <w:contextualSpacing/>
    </w:pPr>
  </w:style>
  <w:style w:type="character" w:styleId="IntenseEmphasis">
    <w:name w:val="Intense Emphasis"/>
    <w:basedOn w:val="DefaultParagraphFont"/>
    <w:uiPriority w:val="21"/>
    <w:qFormat/>
    <w:rsid w:val="00512C35"/>
    <w:rPr>
      <w:i/>
      <w:iCs/>
      <w:color w:val="0F4761" w:themeColor="accent1" w:themeShade="BF"/>
    </w:rPr>
  </w:style>
  <w:style w:type="paragraph" w:styleId="IntenseQuote">
    <w:name w:val="Intense Quote"/>
    <w:basedOn w:val="Normal"/>
    <w:next w:val="Normal"/>
    <w:link w:val="IntenseQuoteChar"/>
    <w:uiPriority w:val="30"/>
    <w:qFormat/>
    <w:rsid w:val="00512C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2C35"/>
    <w:rPr>
      <w:i/>
      <w:iCs/>
      <w:color w:val="0F4761" w:themeColor="accent1" w:themeShade="BF"/>
    </w:rPr>
  </w:style>
  <w:style w:type="character" w:styleId="IntenseReference">
    <w:name w:val="Intense Reference"/>
    <w:basedOn w:val="DefaultParagraphFont"/>
    <w:uiPriority w:val="32"/>
    <w:qFormat/>
    <w:rsid w:val="00512C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B6DF454B2C4F99923B53D6F282796A"/>
        <w:category>
          <w:name w:val="Chung"/>
          <w:gallery w:val="placeholder"/>
        </w:category>
        <w:types>
          <w:type w:val="bbPlcHdr"/>
        </w:types>
        <w:behaviors>
          <w:behavior w:val="content"/>
        </w:behaviors>
        <w:guid w:val="{CC20C626-A524-4BD2-B2A2-4CA39372DCE2}"/>
      </w:docPartPr>
      <w:docPartBody>
        <w:p w:rsidR="008B54F3" w:rsidRDefault="00392EEB" w:rsidP="00392EEB">
          <w:pPr>
            <w:pStyle w:val="53B6DF454B2C4F99923B53D6F282796A"/>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EEB"/>
    <w:rsid w:val="002022AC"/>
    <w:rsid w:val="00392EEB"/>
    <w:rsid w:val="00665634"/>
    <w:rsid w:val="008B54F3"/>
    <w:rsid w:val="009F63EF"/>
    <w:rsid w:val="00A313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2EEB"/>
    <w:rPr>
      <w:color w:val="808080"/>
    </w:rPr>
  </w:style>
  <w:style w:type="paragraph" w:customStyle="1" w:styleId="53B6DF454B2C4F99923B53D6F282796A">
    <w:name w:val="53B6DF454B2C4F99923B53D6F282796A"/>
    <w:rsid w:val="00392E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982</Words>
  <Characters>5602</Characters>
  <Application>Microsoft Office Word</Application>
  <DocSecurity>0</DocSecurity>
  <Lines>46</Lines>
  <Paragraphs>13</Paragraphs>
  <ScaleCrop>false</ScaleCrop>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Nguyễn Phương</dc:creator>
  <cp:keywords/>
  <dc:description/>
  <cp:lastModifiedBy>Giao Thi. Khanh Ngoc SDH</cp:lastModifiedBy>
  <cp:revision>2</cp:revision>
  <dcterms:created xsi:type="dcterms:W3CDTF">2026-06-01T08:41:00Z</dcterms:created>
  <dcterms:modified xsi:type="dcterms:W3CDTF">2026-06-05T08:32:00Z</dcterms:modified>
</cp:coreProperties>
</file>