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EA003D" w14:textId="77777777" w:rsidR="00F32733" w:rsidRPr="00B351D1" w:rsidRDefault="007B0590" w:rsidP="00B351D1">
      <w:pPr>
        <w:spacing w:before="0"/>
        <w:jc w:val="center"/>
        <w:rPr>
          <w:b/>
          <w:sz w:val="28"/>
          <w:szCs w:val="28"/>
        </w:rPr>
      </w:pPr>
      <w:r>
        <w:rPr>
          <w:b/>
        </w:rPr>
        <w:t>NHỮNG ĐÓNG GÓP MỚI CỦA LUẬN ÁN</w:t>
      </w:r>
    </w:p>
    <w:p w14:paraId="0717DD8F" w14:textId="77777777" w:rsidR="00F32733" w:rsidRDefault="007B0590">
      <w:pPr>
        <w:spacing w:before="80"/>
        <w:rPr>
          <w:b/>
        </w:rPr>
      </w:pPr>
      <w:r w:rsidRPr="00174CB8">
        <w:rPr>
          <w:bCs/>
        </w:rPr>
        <w:t>Đề tài luận án</w:t>
      </w:r>
      <w:r w:rsidRPr="00DE5DDF">
        <w:rPr>
          <w:bCs/>
        </w:rPr>
        <w:t>:</w:t>
      </w:r>
      <w:r>
        <w:t xml:space="preserve"> </w:t>
      </w:r>
      <w:r>
        <w:rPr>
          <w:b/>
          <w:i/>
        </w:rPr>
        <w:t>Quản lý nhà nước đối với các khu kinh tế ven biển Bắc Trung Bộ Việt Nam</w:t>
      </w:r>
    </w:p>
    <w:p w14:paraId="399B6FAC" w14:textId="6E9DC3CC" w:rsidR="00F32733" w:rsidRDefault="007B0590">
      <w:pPr>
        <w:spacing w:before="0"/>
      </w:pPr>
      <w:r>
        <w:t xml:space="preserve">Chuyên ngành: </w:t>
      </w:r>
      <w:r w:rsidRPr="00B351D1">
        <w:rPr>
          <w:b/>
          <w:bCs/>
        </w:rPr>
        <w:t>Kinh tế đầu tư</w:t>
      </w:r>
      <w:r>
        <w:t xml:space="preserve"> </w:t>
      </w:r>
      <w:r>
        <w:tab/>
      </w:r>
      <w:r w:rsidR="00B351D1">
        <w:tab/>
      </w:r>
      <w:r>
        <w:t>Mã số:</w:t>
      </w:r>
      <w:r>
        <w:rPr>
          <w:rFonts w:ascii=".VnAvant" w:hAnsi=".VnAvant"/>
          <w:b/>
          <w:spacing w:val="-4"/>
          <w:lang w:val="it-IT"/>
        </w:rPr>
        <w:t xml:space="preserve"> </w:t>
      </w:r>
      <w:r>
        <w:rPr>
          <w:b/>
          <w:spacing w:val="-4"/>
          <w:lang w:val="it-IT"/>
        </w:rPr>
        <w:t>9310104</w:t>
      </w:r>
    </w:p>
    <w:p w14:paraId="1B17E038" w14:textId="41099E6A" w:rsidR="00F32733" w:rsidRPr="00B351D1" w:rsidRDefault="007B0590">
      <w:pPr>
        <w:spacing w:before="0"/>
        <w:rPr>
          <w:b/>
          <w:bCs/>
        </w:rPr>
      </w:pPr>
      <w:r>
        <w:t>Nghiên cứu sinh:</w:t>
      </w:r>
      <w:r w:rsidR="00807F50">
        <w:t xml:space="preserve"> </w:t>
      </w:r>
      <w:r w:rsidR="00807F50" w:rsidRPr="00174CB8">
        <w:rPr>
          <w:b/>
          <w:bCs/>
        </w:rPr>
        <w:t>Lê Thành Đông</w:t>
      </w:r>
      <w:r>
        <w:tab/>
        <w:t xml:space="preserve">Mã NCS: </w:t>
      </w:r>
      <w:r w:rsidR="00807F50" w:rsidRPr="00174CB8">
        <w:rPr>
          <w:b/>
          <w:bCs/>
        </w:rPr>
        <w:t>NCS38.023DT</w:t>
      </w:r>
    </w:p>
    <w:p w14:paraId="7E0189CC" w14:textId="42572767" w:rsidR="00F32733" w:rsidRPr="00174CB8" w:rsidRDefault="007B0590">
      <w:pPr>
        <w:spacing w:before="0"/>
        <w:rPr>
          <w:b/>
          <w:bCs/>
        </w:rPr>
      </w:pPr>
      <w:r>
        <w:t xml:space="preserve">Người hướng dẫn: </w:t>
      </w:r>
      <w:r w:rsidR="00807F50" w:rsidRPr="00174CB8">
        <w:rPr>
          <w:b/>
          <w:bCs/>
        </w:rPr>
        <w:t>GS. TSKH. Nguyễn Mại</w:t>
      </w:r>
    </w:p>
    <w:p w14:paraId="1C1065ED" w14:textId="77777777" w:rsidR="00F32733" w:rsidRDefault="007B0590" w:rsidP="00D71D76">
      <w:pPr>
        <w:spacing w:before="0" w:after="60"/>
      </w:pPr>
      <w:r>
        <w:t xml:space="preserve">Cơ sở đào tạo: </w:t>
      </w:r>
      <w:r w:rsidRPr="00B351D1">
        <w:rPr>
          <w:b/>
          <w:bCs/>
        </w:rPr>
        <w:t>Trường Đại học Kinh tế Quốc dân</w:t>
      </w:r>
      <w:r>
        <w:t xml:space="preserve"> </w:t>
      </w:r>
    </w:p>
    <w:p w14:paraId="3C22F0AB" w14:textId="77777777" w:rsidR="00F32733" w:rsidRDefault="007B0590">
      <w:pPr>
        <w:spacing w:before="240"/>
        <w:rPr>
          <w:b/>
          <w:spacing w:val="-2"/>
        </w:rPr>
      </w:pPr>
      <w:r>
        <w:rPr>
          <w:b/>
          <w:spacing w:val="-2"/>
        </w:rPr>
        <w:t xml:space="preserve">Những đóng góp mới về mặt học thuật, lý luận </w:t>
      </w:r>
    </w:p>
    <w:p w14:paraId="54757D7C" w14:textId="1B744AD3" w:rsidR="00CC0B99" w:rsidRDefault="00CC0B99" w:rsidP="000F6B75">
      <w:pPr>
        <w:spacing w:before="60"/>
        <w:ind w:firstLine="720"/>
      </w:pPr>
      <w:r>
        <w:t xml:space="preserve">(i) Luận án bổ sung và hoàn thiện khung lý luận về </w:t>
      </w:r>
      <w:r w:rsidR="003A1979">
        <w:t>quản</w:t>
      </w:r>
      <w:r w:rsidR="003A1979">
        <w:rPr>
          <w:lang w:val="vi-VN"/>
        </w:rPr>
        <w:t xml:space="preserve"> lý nhà nước (</w:t>
      </w:r>
      <w:r>
        <w:t>QLNN</w:t>
      </w:r>
      <w:r w:rsidR="003A1979">
        <w:rPr>
          <w:lang w:val="vi-VN"/>
        </w:rPr>
        <w:t>)</w:t>
      </w:r>
      <w:r>
        <w:t xml:space="preserve"> đối với </w:t>
      </w:r>
      <w:r w:rsidR="003A1979">
        <w:t>khu</w:t>
      </w:r>
      <w:r w:rsidR="003A1979">
        <w:rPr>
          <w:lang w:val="vi-VN"/>
        </w:rPr>
        <w:t xml:space="preserve"> kinh tế v</w:t>
      </w:r>
      <w:r w:rsidR="00391B5B">
        <w:t>e</w:t>
      </w:r>
      <w:r w:rsidR="003A1979">
        <w:rPr>
          <w:lang w:val="vi-VN"/>
        </w:rPr>
        <w:t>n biển (</w:t>
      </w:r>
      <w:r>
        <w:t>KKTVB</w:t>
      </w:r>
      <w:r w:rsidR="003A1979">
        <w:rPr>
          <w:lang w:val="vi-VN"/>
        </w:rPr>
        <w:t>)</w:t>
      </w:r>
      <w:r>
        <w:t xml:space="preserve"> dưới góc độ chuyên ngành kinh tế đầu tư, theo hướng chính quyền “kiến tạo và phục vụ</w:t>
      </w:r>
      <w:r w:rsidR="00683A97">
        <w:rPr>
          <w:lang w:val="vi-VN"/>
        </w:rPr>
        <w:t>”</w:t>
      </w:r>
      <w:r w:rsidR="00391B5B">
        <w:t xml:space="preserve">. Các nội dung QLNN đối với KKTVB được phân tích trên cơ sở học thuyết </w:t>
      </w:r>
      <w:r w:rsidR="00391B5B" w:rsidRPr="00391B5B">
        <w:t xml:space="preserve">thuyết mới về phát triển (New Growth Theory) của Paul Romer (1990), trong đó nhấn mạnh vai trò của </w:t>
      </w:r>
      <w:r w:rsidR="00391B5B">
        <w:t>cơ quan QLNN đối với KKTVB, đảm bảo sự tăng trưởng bền vững KTB của địa phương, khu vực và quốc gia.</w:t>
      </w:r>
    </w:p>
    <w:p w14:paraId="7D37EB40" w14:textId="177EF8C3" w:rsidR="00CC0B99" w:rsidRDefault="00CC0B99" w:rsidP="00B351D1">
      <w:pPr>
        <w:spacing w:before="60"/>
        <w:ind w:firstLine="720"/>
      </w:pPr>
      <w:r>
        <w:t xml:space="preserve">(ii) </w:t>
      </w:r>
      <w:r w:rsidR="002B5C15">
        <w:t xml:space="preserve">Luận án đã sử dụng phương pháp định lượng thông qua việc đánh giá các nhân tố ảnh hưởng tới QLNN của chính quyền cấp tỉnh đối với KKTVB. Mô hình tuyến tính đánh giá mối quan hệ giữa QLNN của chính quyền tỉnh đối với KKTVB với </w:t>
      </w:r>
      <w:r w:rsidR="00807F50">
        <w:t>6</w:t>
      </w:r>
      <w:r w:rsidR="002B5C15">
        <w:t xml:space="preserve"> nhân tố độc lập gồm: </w:t>
      </w:r>
      <w:r w:rsidR="000F6B75">
        <w:t>Vị trí địa lý của KKTVB; Điều kiện KT-XH của địa phương sở hữu KKTVB; Cơ chế, chính sách của chính quyền trung ương đối với KKTVB; Cơ chế, chính sách của chính quyền tỉnh lân cận đối với KKTVB; Tổ chức bộ máy của chính quyền tỉnh đối với KKTVB; Năng lực đội ngũ QLNN đối với KKTVB</w:t>
      </w:r>
      <w:r w:rsidR="002E34BF">
        <w:t xml:space="preserve"> được kiểm định bằng mô hình OLS cho phép rút ra kết luận về mức độ ảnh hưởng của </w:t>
      </w:r>
      <w:r w:rsidR="006F7663">
        <w:t>từng</w:t>
      </w:r>
      <w:r w:rsidR="002E34BF">
        <w:t xml:space="preserve"> biến độc lập tới biến phụ thuộc,</w:t>
      </w:r>
      <w:r w:rsidR="006F7663">
        <w:t xml:space="preserve"> làm căn cứ cơ sở để đánh giá nguyên nhân và đề xuất giải pháp hoàn thiện QLNN đối với KKTVB các tỉnh Bắc Trung Bộ.</w:t>
      </w:r>
    </w:p>
    <w:p w14:paraId="2387030B" w14:textId="77777777" w:rsidR="00F32733" w:rsidRDefault="007B0590" w:rsidP="00B351D1">
      <w:pPr>
        <w:spacing w:before="60"/>
        <w:rPr>
          <w:b/>
        </w:rPr>
      </w:pPr>
      <w:r>
        <w:rPr>
          <w:b/>
        </w:rPr>
        <w:t xml:space="preserve">Những phát hiện, đề xuất mới rút ra được từ kết quả nghiên cứu, khảo sát của luận án </w:t>
      </w:r>
    </w:p>
    <w:p w14:paraId="313A6FDB" w14:textId="1BAB7685" w:rsidR="00401849" w:rsidRDefault="00807F50" w:rsidP="00B351D1">
      <w:pPr>
        <w:spacing w:before="60"/>
        <w:ind w:firstLine="720"/>
      </w:pPr>
      <w:r>
        <w:t>(i)</w:t>
      </w:r>
      <w:r w:rsidR="007A6843">
        <w:t xml:space="preserve"> </w:t>
      </w:r>
      <w:r>
        <w:t>T</w:t>
      </w:r>
      <w:r w:rsidR="007A6843">
        <w:t xml:space="preserve">hông qua nghiên cứu số liệu thứ cấp, điều tra xã hội học, luận án đã </w:t>
      </w:r>
      <w:r w:rsidR="00645A4F">
        <w:t xml:space="preserve">tìm hiểu thực trạng </w:t>
      </w:r>
      <w:r w:rsidR="007A6843">
        <w:t>QLNN đối với KKTVB Bắc Trung Bộ và phát hiện ra rằng, hoạt động QLNN của chính quyền các tỉnh Bắc Trung Bộ đối với KKTVB thời gian qua đạt được nhiều kết quả</w:t>
      </w:r>
      <w:r w:rsidR="00D92F35">
        <w:t xml:space="preserve"> </w:t>
      </w:r>
      <w:r>
        <w:t>tích cực</w:t>
      </w:r>
      <w:r w:rsidR="00D92F35">
        <w:t xml:space="preserve">. </w:t>
      </w:r>
      <w:r w:rsidR="006412E1">
        <w:t xml:space="preserve">Tuy nhiên, QLNN đối với KKTVB ở các </w:t>
      </w:r>
      <w:r w:rsidR="00D92F35">
        <w:t xml:space="preserve">tỉnh Bắc Trung Bộ </w:t>
      </w:r>
      <w:r w:rsidR="006412E1">
        <w:t>đều bộc lộ các điểm yếu, thiếu tính liên kết vùng trong xây dựng, tổ chức thực thi công tác QLNN đối với KKTVB.</w:t>
      </w:r>
      <w:r w:rsidR="007A6843">
        <w:t xml:space="preserve"> </w:t>
      </w:r>
      <w:r>
        <w:t>Thông qua n</w:t>
      </w:r>
      <w:r w:rsidR="007A6843">
        <w:t xml:space="preserve">ghiên cứu định lượng </w:t>
      </w:r>
      <w:r w:rsidR="00645A4F">
        <w:t>góp phần</w:t>
      </w:r>
      <w:r w:rsidR="006412E1">
        <w:t xml:space="preserve"> lượng hóa </w:t>
      </w:r>
      <w:r w:rsidR="007A6843">
        <w:t xml:space="preserve">mức độ ảnh hưởng của các nhân tố tới QLNN đối với KKTVB </w:t>
      </w:r>
      <w:r w:rsidR="007A6843" w:rsidRPr="007A6843">
        <w:t>theo thứ tự từ mạnh đến yếu gồm: (1) Cơ chế, chính sách của chính quyền trung ương; (2) Bộ máy QLNN của chính quyền tỉnh đối với KKTVB; (3) Điều kiện KT-XH của địa phương; (4) Năng lực đội ngũ cán bộ QLNN đối với KKTVB; (5) Cơ chế, chính sách của chính quyền các tỉnh lân cận đối với KKTVB và (6) Vị trí địa lý của KKTVB</w:t>
      </w:r>
      <w:r>
        <w:t xml:space="preserve">; qua đó </w:t>
      </w:r>
      <w:r w:rsidR="00D92F35">
        <w:t>giúp củng cố những đánh giá định tính ở trên</w:t>
      </w:r>
      <w:r w:rsidR="00F35F6F">
        <w:t xml:space="preserve">. </w:t>
      </w:r>
    </w:p>
    <w:p w14:paraId="47CBADB3" w14:textId="65F04074" w:rsidR="00807F50" w:rsidRDefault="00807F50" w:rsidP="00174CB8">
      <w:pPr>
        <w:spacing w:before="60" w:after="120"/>
        <w:ind w:firstLine="720"/>
      </w:pPr>
      <w:r>
        <w:t>(ii) L</w:t>
      </w:r>
      <w:r w:rsidR="00FF6B2C">
        <w:t xml:space="preserve">uận án đã đề xuất các nhóm giải pháp chung nhằm thúc đẩy sự liên kết vùng giữa các địa phương trong khu vực Bắc Trung Bộ trong xây dựng, tổ chức thực hiện quy hoạch, kế hoạch phát triển KKTVB nhằm hình thành và phát triển các chuỗi giá trị sản xuất công nghiệp, dịch vụ và xuất khẩu giữa các địa phương trong vùng kinh tế Bắc Trung Bộ và với cả nước. Đồng thời luận án cũng đề xuất những giải pháp riêng biệt, nhằm khắc phục những hạn chế của từng KKTVB trong QLNN đối với KKTVB của từng địa phương. </w:t>
      </w:r>
    </w:p>
    <w:tbl>
      <w:tblPr>
        <w:tblW w:w="0" w:type="auto"/>
        <w:jc w:val="center"/>
        <w:tblBorders>
          <w:top w:val="nil"/>
          <w:left w:val="nil"/>
          <w:bottom w:val="nil"/>
          <w:right w:val="nil"/>
          <w:insideH w:val="nil"/>
          <w:insideV w:val="nil"/>
        </w:tblBorders>
        <w:tblLook w:val="01E0" w:firstRow="1" w:lastRow="1" w:firstColumn="1" w:lastColumn="1" w:noHBand="0" w:noVBand="0"/>
      </w:tblPr>
      <w:tblGrid>
        <w:gridCol w:w="5498"/>
        <w:gridCol w:w="3790"/>
      </w:tblGrid>
      <w:tr w:rsidR="00F32733" w14:paraId="0FB2544A" w14:textId="77777777" w:rsidTr="001E448F">
        <w:trPr>
          <w:trHeight w:val="1487"/>
          <w:jc w:val="center"/>
        </w:trPr>
        <w:tc>
          <w:tcPr>
            <w:tcW w:w="5498" w:type="dxa"/>
          </w:tcPr>
          <w:p w14:paraId="471DAA06" w14:textId="77777777" w:rsidR="00F32733" w:rsidRDefault="007B0590">
            <w:pPr>
              <w:tabs>
                <w:tab w:val="left" w:pos="850"/>
                <w:tab w:val="left" w:pos="1191"/>
                <w:tab w:val="left" w:pos="1531"/>
              </w:tabs>
              <w:spacing w:before="0"/>
              <w:jc w:val="center"/>
              <w:rPr>
                <w:b/>
              </w:rPr>
            </w:pPr>
            <w:r>
              <w:rPr>
                <w:b/>
              </w:rPr>
              <w:t xml:space="preserve">Người hướng dẫn </w:t>
            </w:r>
          </w:p>
          <w:p w14:paraId="7D4A1D60" w14:textId="77777777" w:rsidR="00807F50" w:rsidRDefault="00807F50" w:rsidP="00174CB8">
            <w:pPr>
              <w:tabs>
                <w:tab w:val="left" w:pos="850"/>
                <w:tab w:val="left" w:pos="1191"/>
                <w:tab w:val="left" w:pos="1531"/>
              </w:tabs>
              <w:spacing w:before="0"/>
              <w:rPr>
                <w:b/>
              </w:rPr>
            </w:pPr>
          </w:p>
          <w:p w14:paraId="50388118" w14:textId="77777777" w:rsidR="00807F50" w:rsidRDefault="00807F50" w:rsidP="00174CB8">
            <w:pPr>
              <w:tabs>
                <w:tab w:val="left" w:pos="850"/>
                <w:tab w:val="left" w:pos="1191"/>
                <w:tab w:val="left" w:pos="1531"/>
              </w:tabs>
              <w:spacing w:before="0"/>
              <w:rPr>
                <w:b/>
              </w:rPr>
            </w:pPr>
          </w:p>
          <w:p w14:paraId="718B9B4B" w14:textId="528DB096" w:rsidR="00D71D76" w:rsidRPr="00B351D1" w:rsidRDefault="00807F50" w:rsidP="00174CB8">
            <w:pPr>
              <w:tabs>
                <w:tab w:val="left" w:pos="850"/>
                <w:tab w:val="left" w:pos="1191"/>
                <w:tab w:val="left" w:pos="1531"/>
              </w:tabs>
              <w:spacing w:before="0"/>
              <w:jc w:val="center"/>
              <w:rPr>
                <w:i/>
                <w:sz w:val="38"/>
                <w:szCs w:val="38"/>
              </w:rPr>
            </w:pPr>
            <w:proofErr w:type="gramStart"/>
            <w:r>
              <w:rPr>
                <w:b/>
              </w:rPr>
              <w:t>GS.TSKH</w:t>
            </w:r>
            <w:proofErr w:type="gramEnd"/>
            <w:r>
              <w:rPr>
                <w:b/>
              </w:rPr>
              <w:t>. Nguyễn Mại</w:t>
            </w:r>
          </w:p>
          <w:p w14:paraId="3B43B0CA" w14:textId="77777777" w:rsidR="001E448F" w:rsidRDefault="001E448F" w:rsidP="00D71D76">
            <w:pPr>
              <w:tabs>
                <w:tab w:val="left" w:pos="850"/>
                <w:tab w:val="left" w:pos="1191"/>
                <w:tab w:val="left" w:pos="1531"/>
              </w:tabs>
              <w:spacing w:before="0"/>
              <w:rPr>
                <w:i/>
              </w:rPr>
            </w:pPr>
          </w:p>
          <w:p w14:paraId="32B88C38" w14:textId="11CF576E" w:rsidR="00F32733" w:rsidRDefault="00F32733">
            <w:pPr>
              <w:tabs>
                <w:tab w:val="left" w:pos="850"/>
                <w:tab w:val="left" w:pos="1191"/>
                <w:tab w:val="left" w:pos="1531"/>
              </w:tabs>
              <w:spacing w:before="0"/>
              <w:jc w:val="center"/>
              <w:rPr>
                <w:i/>
              </w:rPr>
            </w:pPr>
          </w:p>
        </w:tc>
        <w:tc>
          <w:tcPr>
            <w:tcW w:w="3790" w:type="dxa"/>
          </w:tcPr>
          <w:p w14:paraId="6CE819BB" w14:textId="77777777" w:rsidR="00F32733" w:rsidRPr="00807F50" w:rsidRDefault="007B0590">
            <w:pPr>
              <w:tabs>
                <w:tab w:val="left" w:pos="850"/>
                <w:tab w:val="left" w:pos="1191"/>
                <w:tab w:val="left" w:pos="1531"/>
              </w:tabs>
              <w:spacing w:before="0"/>
              <w:jc w:val="center"/>
              <w:rPr>
                <w:b/>
              </w:rPr>
            </w:pPr>
            <w:r w:rsidRPr="00807F50">
              <w:rPr>
                <w:b/>
              </w:rPr>
              <w:t xml:space="preserve">Nghiên cứu sinh </w:t>
            </w:r>
          </w:p>
          <w:p w14:paraId="145EE57F" w14:textId="77777777" w:rsidR="008C1680" w:rsidRPr="00174CB8" w:rsidRDefault="008C1680" w:rsidP="00174CB8">
            <w:pPr>
              <w:tabs>
                <w:tab w:val="left" w:pos="850"/>
                <w:tab w:val="left" w:pos="1191"/>
                <w:tab w:val="left" w:pos="1531"/>
              </w:tabs>
              <w:spacing w:before="0"/>
              <w:rPr>
                <w:b/>
              </w:rPr>
            </w:pPr>
          </w:p>
          <w:p w14:paraId="4F115E8A" w14:textId="77777777" w:rsidR="00807F50" w:rsidRPr="00174CB8" w:rsidRDefault="00807F50">
            <w:pPr>
              <w:tabs>
                <w:tab w:val="left" w:pos="850"/>
                <w:tab w:val="left" w:pos="1191"/>
                <w:tab w:val="left" w:pos="1531"/>
              </w:tabs>
              <w:spacing w:before="0"/>
              <w:jc w:val="center"/>
              <w:rPr>
                <w:b/>
              </w:rPr>
            </w:pPr>
          </w:p>
          <w:p w14:paraId="2C032515" w14:textId="6652BFBE" w:rsidR="00807F50" w:rsidRPr="00174CB8" w:rsidRDefault="00807F50">
            <w:pPr>
              <w:tabs>
                <w:tab w:val="left" w:pos="850"/>
                <w:tab w:val="left" w:pos="1191"/>
                <w:tab w:val="left" w:pos="1531"/>
              </w:tabs>
              <w:spacing w:before="0"/>
              <w:jc w:val="center"/>
              <w:rPr>
                <w:b/>
              </w:rPr>
            </w:pPr>
            <w:r w:rsidRPr="00174CB8">
              <w:rPr>
                <w:b/>
              </w:rPr>
              <w:t>Lê Thành Đông</w:t>
            </w:r>
          </w:p>
        </w:tc>
      </w:tr>
    </w:tbl>
    <w:p w14:paraId="7EF89001" w14:textId="38B0ED36" w:rsidR="00F32733" w:rsidRPr="00B351D1" w:rsidRDefault="00F32733" w:rsidP="00864C20">
      <w:pPr>
        <w:spacing w:before="0"/>
        <w:rPr>
          <w:sz w:val="8"/>
          <w:szCs w:val="8"/>
        </w:rPr>
      </w:pPr>
    </w:p>
    <w:sectPr w:rsidR="00F32733" w:rsidRPr="00B351D1" w:rsidSect="00174CB8">
      <w:pgSz w:w="11907" w:h="16840" w:code="9"/>
      <w:pgMar w:top="851" w:right="851" w:bottom="567"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nAvant">
    <w:altName w:val="Calibri"/>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doNotDisplayPageBoundaries/>
  <w:proofState w:grammar="clean"/>
  <w:documentProtection w:edit="readOnly" w:enforcement="0"/>
  <w:defaultTabStop w:val="720"/>
  <w:displayHorizontalDrawingGridEvery w:val="2"/>
  <w:displayVerticalDrawingGridEvery w:val="2"/>
  <w:characterSpacingControl w:val="doNotCompress"/>
  <w:compat>
    <w:spaceForUL/>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733"/>
    <w:rsid w:val="000F6B75"/>
    <w:rsid w:val="00115CB9"/>
    <w:rsid w:val="00174CB8"/>
    <w:rsid w:val="001E448F"/>
    <w:rsid w:val="002B5C15"/>
    <w:rsid w:val="002D4382"/>
    <w:rsid w:val="002E34BF"/>
    <w:rsid w:val="00391B5B"/>
    <w:rsid w:val="003A1979"/>
    <w:rsid w:val="00401849"/>
    <w:rsid w:val="00532BA2"/>
    <w:rsid w:val="00567D0D"/>
    <w:rsid w:val="005A5B63"/>
    <w:rsid w:val="006412E1"/>
    <w:rsid w:val="00645A4F"/>
    <w:rsid w:val="00683A97"/>
    <w:rsid w:val="006F4322"/>
    <w:rsid w:val="006F7663"/>
    <w:rsid w:val="007A6843"/>
    <w:rsid w:val="007B0590"/>
    <w:rsid w:val="00807F50"/>
    <w:rsid w:val="00864C20"/>
    <w:rsid w:val="008C1680"/>
    <w:rsid w:val="00901200"/>
    <w:rsid w:val="00917024"/>
    <w:rsid w:val="00A3689A"/>
    <w:rsid w:val="00B351D1"/>
    <w:rsid w:val="00CC0B99"/>
    <w:rsid w:val="00D037B7"/>
    <w:rsid w:val="00D33A5C"/>
    <w:rsid w:val="00D71D76"/>
    <w:rsid w:val="00D92CDE"/>
    <w:rsid w:val="00D92F35"/>
    <w:rsid w:val="00DE5DDF"/>
    <w:rsid w:val="00E06171"/>
    <w:rsid w:val="00ED652D"/>
    <w:rsid w:val="00F22493"/>
    <w:rsid w:val="00F32733"/>
    <w:rsid w:val="00F35F6F"/>
    <w:rsid w:val="00F85DAA"/>
    <w:rsid w:val="00FF6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1D95B"/>
  <w15:docId w15:val="{BEF60404-19DE-5541-874E-FD8D4812A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line="288" w:lineRule="auto"/>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link w:val="CommentText"/>
    <w:uiPriority w:val="99"/>
    <w:rPr>
      <w:rFonts w:ascii="Times New Roman" w:eastAsia="Times New Roman" w:hAnsi="Times New Roman"/>
    </w:rPr>
  </w:style>
  <w:style w:type="paragraph" w:styleId="CommentSubject">
    <w:name w:val="annotation subject"/>
    <w:basedOn w:val="CommentText"/>
    <w:link w:val="CommentSubjectChar"/>
    <w:uiPriority w:val="99"/>
    <w:semiHidden/>
    <w:unhideWhenUsed/>
    <w:rPr>
      <w:b/>
    </w:rPr>
  </w:style>
  <w:style w:type="character" w:customStyle="1" w:styleId="CommentSubjectChar">
    <w:name w:val="Comment Subject Char"/>
    <w:link w:val="CommentSubject"/>
    <w:uiPriority w:val="99"/>
    <w:semiHidden/>
    <w:rPr>
      <w:rFonts w:ascii="Times New Roman" w:eastAsia="Times New Roman" w:hAnsi="Times New Roman"/>
      <w:b/>
    </w:rPr>
  </w:style>
  <w:style w:type="paragraph" w:styleId="BalloonText">
    <w:name w:val="Balloon Text"/>
    <w:basedOn w:val="Normal"/>
    <w:link w:val="BalloonTextChar"/>
    <w:uiPriority w:val="99"/>
    <w:semiHidden/>
    <w:unhideWhenUsed/>
    <w:pPr>
      <w:spacing w:before="0" w:line="240" w:lineRule="auto"/>
    </w:pPr>
    <w:rPr>
      <w:rFonts w:ascii="Tahoma" w:hAnsi="Tahoma"/>
      <w:sz w:val="16"/>
      <w:szCs w:val="16"/>
    </w:rPr>
  </w:style>
  <w:style w:type="character" w:customStyle="1" w:styleId="BalloonTextChar">
    <w:name w:val="Balloon Text Char"/>
    <w:link w:val="BalloonText"/>
    <w:uiPriority w:val="99"/>
    <w:semiHidden/>
    <w:rPr>
      <w:rFonts w:ascii="Tahoma" w:eastAsia="Times New Roman" w:hAnsi="Tahoma"/>
      <w:sz w:val="16"/>
      <w:szCs w:val="16"/>
    </w:rPr>
  </w:style>
  <w:style w:type="paragraph" w:styleId="Revision">
    <w:name w:val="Revision"/>
    <w:hidden/>
    <w:uiPriority w:val="99"/>
    <w:semiHidden/>
    <w:rsid w:val="00D037B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1</Pages>
  <Words>472</Words>
  <Characters>2693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VX</cp:lastModifiedBy>
  <cp:revision>16</cp:revision>
  <cp:lastPrinted>2024-01-07T07:15:00Z</cp:lastPrinted>
  <dcterms:created xsi:type="dcterms:W3CDTF">2024-01-06T11:06:00Z</dcterms:created>
  <dcterms:modified xsi:type="dcterms:W3CDTF">2026-01-15T10:39:00Z</dcterms:modified>
</cp:coreProperties>
</file>