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AFC14" w14:textId="77777777" w:rsidR="00023B92" w:rsidRDefault="00EA3DBE" w:rsidP="00A01E4E">
      <w:pPr>
        <w:spacing w:before="0" w:after="120"/>
        <w:jc w:val="center"/>
        <w:rPr>
          <w:b/>
        </w:rPr>
      </w:pPr>
      <w:r>
        <w:rPr>
          <w:b/>
        </w:rPr>
        <w:t>NHỮNG ĐÓNG GÓP MỚI CỦA LUẬN ÁN</w:t>
      </w:r>
    </w:p>
    <w:p w14:paraId="3ADFEC5F" w14:textId="77777777" w:rsidR="00024CF3" w:rsidRPr="008854A3" w:rsidRDefault="00024CF3" w:rsidP="00024CF3">
      <w:pPr>
        <w:spacing w:before="240" w:line="264" w:lineRule="auto"/>
        <w:rPr>
          <w:b/>
          <w:iCs/>
        </w:rPr>
      </w:pPr>
      <w:r>
        <w:rPr>
          <w:b/>
        </w:rPr>
        <w:t>Đề tài luận án</w:t>
      </w:r>
      <w:r>
        <w:t xml:space="preserve">: </w:t>
      </w:r>
      <w:r>
        <w:rPr>
          <w:b/>
          <w:i/>
          <w:iCs/>
        </w:rPr>
        <w:t>Nghiên cứu tác động của bất định chính sách đến tránh thuế doanh nghiệp</w:t>
      </w:r>
    </w:p>
    <w:p w14:paraId="151CBC95" w14:textId="3E9E3518" w:rsidR="00024CF3" w:rsidRPr="008854A3" w:rsidRDefault="00024CF3" w:rsidP="00024CF3">
      <w:pPr>
        <w:spacing w:before="60" w:line="264" w:lineRule="auto"/>
        <w:jc w:val="left"/>
      </w:pPr>
      <w:r>
        <w:t xml:space="preserve">Ngành đào tạo: </w:t>
      </w:r>
      <w:r w:rsidRPr="00A01E4E">
        <w:rPr>
          <w:b/>
          <w:bCs/>
        </w:rPr>
        <w:t>Tài chính - Ngân hàng</w:t>
      </w:r>
      <w:r>
        <w:tab/>
      </w:r>
      <w:r>
        <w:tab/>
        <w:t>Mã ngành:</w:t>
      </w:r>
      <w:r>
        <w:rPr>
          <w:rFonts w:ascii=".VnAvant" w:hAnsi=".VnAvant"/>
          <w:b/>
          <w:spacing w:val="-4"/>
          <w:lang w:val="it-IT"/>
        </w:rPr>
        <w:t xml:space="preserve"> </w:t>
      </w:r>
      <w:r w:rsidRPr="00A01E4E">
        <w:rPr>
          <w:b/>
          <w:bCs/>
        </w:rPr>
        <w:t>9340201</w:t>
      </w:r>
    </w:p>
    <w:p w14:paraId="0A7B5628" w14:textId="6058298A" w:rsidR="00024CF3" w:rsidRDefault="00024CF3" w:rsidP="00024CF3">
      <w:pPr>
        <w:spacing w:before="60" w:line="264" w:lineRule="auto"/>
        <w:jc w:val="left"/>
        <w:rPr>
          <w:b/>
        </w:rPr>
      </w:pPr>
      <w:r>
        <w:t xml:space="preserve">Nghiên cứu sinh: </w:t>
      </w:r>
      <w:r>
        <w:rPr>
          <w:b/>
        </w:rPr>
        <w:t>Bùi Đỗ Vân</w:t>
      </w:r>
    </w:p>
    <w:p w14:paraId="2A61B0DB" w14:textId="77777777" w:rsidR="00024CF3" w:rsidRPr="00070687" w:rsidRDefault="00024CF3" w:rsidP="00024CF3">
      <w:pPr>
        <w:spacing w:before="60" w:line="264" w:lineRule="auto"/>
        <w:jc w:val="left"/>
        <w:rPr>
          <w:b/>
        </w:rPr>
      </w:pPr>
      <w:r>
        <w:t xml:space="preserve">Người hướng dẫn: </w:t>
      </w:r>
      <w:r>
        <w:rPr>
          <w:b/>
        </w:rPr>
        <w:t xml:space="preserve">PGS.TS. Phan Hữu Nghị  </w:t>
      </w:r>
    </w:p>
    <w:p w14:paraId="6A79F329" w14:textId="06E25692" w:rsidR="00024CF3" w:rsidRPr="00A01E4E" w:rsidRDefault="00024CF3" w:rsidP="00024CF3">
      <w:pPr>
        <w:spacing w:before="60" w:line="264" w:lineRule="auto"/>
        <w:jc w:val="left"/>
        <w:rPr>
          <w:b/>
          <w:bCs/>
        </w:rPr>
      </w:pPr>
      <w:r>
        <w:t xml:space="preserve">Cơ sở đào tạo: </w:t>
      </w:r>
      <w:sdt>
        <w:sdtPr>
          <w:rPr>
            <w:b/>
            <w:bCs/>
          </w:rPr>
          <w:id w:val="1124740468"/>
          <w:placeholder>
            <w:docPart w:val="E5633323087940F3A912FAB334D03BDC"/>
          </w:placeholder>
        </w:sdtPr>
        <w:sdtEndPr/>
        <w:sdtContent>
          <w:r w:rsidR="00E35D7E" w:rsidRPr="00A01E4E">
            <w:rPr>
              <w:b/>
              <w:bCs/>
            </w:rPr>
            <w:t>Đại học Kinh tế Quốc dân</w:t>
          </w:r>
        </w:sdtContent>
      </w:sdt>
      <w:r w:rsidRPr="00A01E4E">
        <w:rPr>
          <w:b/>
          <w:bCs/>
        </w:rPr>
        <w:t xml:space="preserve"> </w:t>
      </w:r>
    </w:p>
    <w:p w14:paraId="5AD476F0" w14:textId="2277D6D8" w:rsidR="00023B92" w:rsidRDefault="00EA3DBE" w:rsidP="003C769B">
      <w:pPr>
        <w:rPr>
          <w:b/>
          <w:spacing w:val="-2"/>
        </w:rPr>
      </w:pPr>
      <w:r>
        <w:rPr>
          <w:b/>
          <w:spacing w:val="-2"/>
        </w:rPr>
        <w:t xml:space="preserve">Những đóng góp mới về mặt học thuật, lý luận </w:t>
      </w:r>
    </w:p>
    <w:p w14:paraId="5C13493E" w14:textId="20442A77" w:rsidR="003C769B" w:rsidRDefault="003C769B" w:rsidP="003C769B">
      <w:pPr>
        <w:spacing w:before="80"/>
        <w:rPr>
          <w:b/>
        </w:rPr>
      </w:pPr>
      <w:r w:rsidRPr="00606E88">
        <w:t xml:space="preserve">Luận án đóng góp về mặt lý luận theo </w:t>
      </w:r>
      <w:r>
        <w:t>ba</w:t>
      </w:r>
      <w:r w:rsidRPr="00606E88">
        <w:t xml:space="preserve"> hướng. </w:t>
      </w:r>
      <w:r w:rsidRPr="007F1551">
        <w:rPr>
          <w:i/>
          <w:iCs/>
        </w:rPr>
        <w:t>Thứ nhất</w:t>
      </w:r>
      <w:r w:rsidRPr="00606E88">
        <w:t xml:space="preserve">, luận án vận dụng đồng thời lý thuyết </w:t>
      </w:r>
      <w:r w:rsidRPr="0066207C">
        <w:t xml:space="preserve">lý thuyết động cơ phòng ngừa </w:t>
      </w:r>
      <w:r>
        <w:t xml:space="preserve">(Keynes, 1936), lý thuyết </w:t>
      </w:r>
      <w:r w:rsidRPr="00606E88">
        <w:t>quyền ch</w:t>
      </w:r>
      <w:r>
        <w:t>ọn thực (Dixit &amp; Pindyck, 1994) và</w:t>
      </w:r>
      <w:r w:rsidRPr="00606E88">
        <w:t xml:space="preserve"> lý thuyết đại diện (Jensen &amp; Meckli</w:t>
      </w:r>
      <w:r>
        <w:t xml:space="preserve">ng, 1976) </w:t>
      </w:r>
      <w:r w:rsidRPr="00606E88">
        <w:t>để xây dựng khung phân tích đa cơ chế, giải thích được tính hai chiều trong tác động của bất định chí</w:t>
      </w:r>
      <w:r>
        <w:t>nh sách đến hành vi tránh thuế</w:t>
      </w:r>
      <w:r w:rsidRPr="00606E88">
        <w:t xml:space="preserve">. </w:t>
      </w:r>
      <w:r w:rsidRPr="007F1551">
        <w:rPr>
          <w:i/>
          <w:iCs/>
        </w:rPr>
        <w:t>Thứ hai</w:t>
      </w:r>
      <w:r w:rsidRPr="00606E88">
        <w:t xml:space="preserve">, luận án hệ thống hóa </w:t>
      </w:r>
      <w:r>
        <w:t>bốn</w:t>
      </w:r>
      <w:r w:rsidRPr="00606E88">
        <w:t xml:space="preserve"> cơ chế truyền dẫn </w:t>
      </w:r>
      <w:r w:rsidR="00BB1A27">
        <w:t xml:space="preserve">tác động của bất định chính sách đến hành vi tránh thuế </w:t>
      </w:r>
      <w:r w:rsidRPr="00606E88">
        <w:t xml:space="preserve">và các điều kiện truyền tải </w:t>
      </w:r>
      <w:r w:rsidR="00BB1A27" w:rsidRPr="00606E88">
        <w:t>tương ứng</w:t>
      </w:r>
      <w:r w:rsidR="00BB1A27">
        <w:t xml:space="preserve"> </w:t>
      </w:r>
      <w:r w:rsidR="00434E89">
        <w:t xml:space="preserve">về </w:t>
      </w:r>
      <w:r w:rsidR="00434E89" w:rsidRPr="00BB1A27">
        <w:rPr>
          <w:color w:val="000000" w:themeColor="text1"/>
        </w:rPr>
        <w:t>tuân thủ pháp lý, quản trị - giám sát, chi phí – lợi ích, quy định nội bộ</w:t>
      </w:r>
      <w:r w:rsidRPr="00BB1A27">
        <w:rPr>
          <w:color w:val="000000" w:themeColor="text1"/>
        </w:rPr>
        <w:t xml:space="preserve">. </w:t>
      </w:r>
      <w:r w:rsidRPr="00BB1A27">
        <w:rPr>
          <w:i/>
          <w:iCs/>
          <w:color w:val="000000" w:themeColor="text1"/>
        </w:rPr>
        <w:t>Thứ ba</w:t>
      </w:r>
      <w:r w:rsidRPr="00BB1A27">
        <w:rPr>
          <w:color w:val="000000" w:themeColor="text1"/>
        </w:rPr>
        <w:t xml:space="preserve">, luận án áp dụng </w:t>
      </w:r>
      <w:r w:rsidRPr="00606E88">
        <w:t>sai số chuẩn Driscoll-Kraay xử lý đồng thời ba khuyết tật dữ liệu bảng, nâng cao độ tin cậy của suy luận thống kê</w:t>
      </w:r>
      <w:r>
        <w:rPr>
          <w:b/>
        </w:rPr>
        <w:t>.</w:t>
      </w:r>
    </w:p>
    <w:p w14:paraId="6F893B35" w14:textId="056A5A35" w:rsidR="00023B92" w:rsidRDefault="00EA3DBE" w:rsidP="003C769B">
      <w:pPr>
        <w:spacing w:before="80"/>
        <w:rPr>
          <w:b/>
        </w:rPr>
      </w:pPr>
      <w:r>
        <w:rPr>
          <w:b/>
        </w:rPr>
        <w:t xml:space="preserve">Những phát hiện, đề xuất mới rút ra được từ kết quả nghiên cứu, khảo sát của luận án </w:t>
      </w:r>
    </w:p>
    <w:p w14:paraId="67227AC9" w14:textId="3695141D" w:rsidR="00023B92" w:rsidRDefault="003C769B" w:rsidP="003C769B">
      <w:pPr>
        <w:spacing w:before="80"/>
      </w:pPr>
      <w:r w:rsidRPr="007F1551">
        <w:rPr>
          <w:i/>
          <w:iCs/>
        </w:rPr>
        <w:t>Thứ nhất</w:t>
      </w:r>
      <w:r w:rsidRPr="00C57F60">
        <w:t>, bất định chính sách kinh tế có tác động âm và có ý nghĩa thống kê lên hành vi tránh thuế dài hạn của doan</w:t>
      </w:r>
      <w:r>
        <w:t>h nghiệp niêm yết tại Việt Nam - đo bằng Scale BTD -</w:t>
      </w:r>
      <w:r w:rsidRPr="00C57F60">
        <w:t xml:space="preserve"> trong khi không tìm thấy tác động có ý nghĩa lên nghĩa vụ thuế tiền mặt ngắn hạn (Cash ETR). Phát hiện này cung cấp bằng chứng định lượng trực tiếp về mối quan hệ này trong bối cảnh Việt Nam. </w:t>
      </w:r>
      <w:r w:rsidRPr="007F1551">
        <w:rPr>
          <w:i/>
          <w:iCs/>
        </w:rPr>
        <w:t>Thứ hai</w:t>
      </w:r>
      <w:r w:rsidRPr="00C57F60">
        <w:t>, sự phân hóa kết quả giữa hai thước đo xác nhận rằng bất định c</w:t>
      </w:r>
      <w:r>
        <w:t>hính sách tác động có chọn lọc -</w:t>
      </w:r>
      <w:r w:rsidRPr="00C57F60">
        <w:t xml:space="preserve"> chủ </w:t>
      </w:r>
      <w:r>
        <w:t>yếu lên các chiến lược kế toán -</w:t>
      </w:r>
      <w:r w:rsidRPr="00C57F60">
        <w:t xml:space="preserve"> thuế mang tính cấu trúc dài hạn thông qua cơ chế quản trị và giám sát thị trường, không lan truyền đồng đều sang nghĩa vụ thuế tiền mặt ngắn hạn vốn chịu ảnh hưởng lớn từ các yếu tố kỹ thuật. </w:t>
      </w:r>
      <w:r w:rsidRPr="007F1551">
        <w:rPr>
          <w:i/>
          <w:iCs/>
        </w:rPr>
        <w:t>Thứ ba</w:t>
      </w:r>
      <w:r w:rsidRPr="00C57F60">
        <w:t>, các biến kiểm soát cho thấy tác động của bất định chính sách không đồng n</w:t>
      </w:r>
      <w:r>
        <w:t>hất giữa các nhóm doanh nghiệp -</w:t>
      </w:r>
      <w:r w:rsidRPr="00C57F60">
        <w:t xml:space="preserve"> doanh nghiệp có khả năng sinh lời cao, tỷ trọng tài sản hữu hình lớn và hội nhập quốc tế sâu chịu tác động kiềm chế tránh thuế mạnh</w:t>
      </w:r>
      <w:r>
        <w:t xml:space="preserve"> hơn do mức độ giám sát cao hơn.</w:t>
      </w:r>
    </w:p>
    <w:p w14:paraId="7139F007" w14:textId="6D78E173" w:rsidR="003C769B" w:rsidRDefault="003C769B" w:rsidP="003C769B">
      <w:pPr>
        <w:spacing w:before="80"/>
      </w:pPr>
      <w:r>
        <w:rPr>
          <w:color w:val="000000" w:themeColor="text1"/>
        </w:rPr>
        <w:t>Luận</w:t>
      </w:r>
      <w:r w:rsidRPr="00EB1A59">
        <w:rPr>
          <w:color w:val="000000" w:themeColor="text1"/>
        </w:rPr>
        <w:t xml:space="preserve"> án đề xuất một số hàm ý chính sách. Đối với Chính phủ, cần nâng cao tính ổn định, minh bạch và khả năng dự báo của chính sách kinh tế nhằm hạn chế động cơ tránh thuế rủi ro cao</w:t>
      </w:r>
      <w:r>
        <w:t xml:space="preserve"> như thiết kế chính sách quản lý thuế cần có tính phân hóa theo đặc điểm doanh nghiệp, ưu tiên giám sát chặt các nhóm có khả năng sinh lời cao và mức độ hội nhập quốc tế lớn trong giai đoạn bất định gia tăng, t</w:t>
      </w:r>
      <w:r w:rsidRPr="00C57F60">
        <w:rPr>
          <w:color w:val="000000" w:themeColor="text1"/>
        </w:rPr>
        <w:t>riển khai đồng bộ Nghị quyết 107/2023/QH15, Nghị định 236/2025/NĐ-CP và Luật Quản lý thuế 2025 tạo ra cơ hội chính sách để thể</w:t>
      </w:r>
      <w:r>
        <w:rPr>
          <w:color w:val="000000" w:themeColor="text1"/>
        </w:rPr>
        <w:t xml:space="preserve"> chế hóa áp lực minh bạch thuế -</w:t>
      </w:r>
      <w:r w:rsidRPr="00C57F60">
        <w:rPr>
          <w:color w:val="000000" w:themeColor="text1"/>
        </w:rPr>
        <w:t xml:space="preserve"> kênh truyền dẫn chính được luận án xác định là cơ chế kiềm chế tránh thuế hiệu quả nhất trong điều kiện bất định chính sách cao tại Việt Nam.</w:t>
      </w:r>
      <w:r>
        <w:rPr>
          <w:color w:val="000000" w:themeColor="text1"/>
        </w:rPr>
        <w:t xml:space="preserve"> </w:t>
      </w:r>
      <w:r w:rsidRPr="00EB1A59">
        <w:rPr>
          <w:color w:val="000000" w:themeColor="text1"/>
        </w:rPr>
        <w:t xml:space="preserve">Đối với cơ quan thuế, cần chuyển </w:t>
      </w:r>
      <w:r>
        <w:t>sang quản lý thuế dựa trên rủi ro, tập trung vào doanh nghiệp có đòn bẩy cao, cấu trúc tài sản phức tạp và hoạt động xuyên biên giới. Đồng thời, doanh nghiệp cần tích hợp quản trị thuế vào quản trị rủi ro tổng thể và ưu tiên minh bạch tài chính để bảo đảm phát triển bền vững</w:t>
      </w:r>
    </w:p>
    <w:p w14:paraId="516DEA25" w14:textId="77777777" w:rsidR="00A01E4E" w:rsidRPr="00A01E4E" w:rsidRDefault="00A01E4E" w:rsidP="003C769B">
      <w:pPr>
        <w:spacing w:before="80"/>
        <w:rPr>
          <w:sz w:val="8"/>
          <w:szCs w:val="8"/>
        </w:rPr>
      </w:pPr>
    </w:p>
    <w:tbl>
      <w:tblPr>
        <w:tblW w:w="0" w:type="auto"/>
        <w:jc w:val="center"/>
        <w:tblLook w:val="01E0" w:firstRow="1" w:lastRow="1" w:firstColumn="1" w:lastColumn="1" w:noHBand="0" w:noVBand="0"/>
      </w:tblPr>
      <w:tblGrid>
        <w:gridCol w:w="4685"/>
        <w:gridCol w:w="4500"/>
      </w:tblGrid>
      <w:tr w:rsidR="00023B92" w14:paraId="0F4359E2" w14:textId="77777777" w:rsidTr="005B6F9C">
        <w:trPr>
          <w:jc w:val="center"/>
        </w:trPr>
        <w:tc>
          <w:tcPr>
            <w:tcW w:w="4737" w:type="dxa"/>
            <w:vAlign w:val="center"/>
          </w:tcPr>
          <w:p w14:paraId="30CD5ABF" w14:textId="3C29FE76" w:rsidR="00023B92" w:rsidRDefault="00EA3DBE" w:rsidP="00C735AB">
            <w:pPr>
              <w:tabs>
                <w:tab w:val="left" w:pos="850"/>
                <w:tab w:val="left" w:pos="1191"/>
                <w:tab w:val="left" w:pos="1531"/>
              </w:tabs>
              <w:spacing w:before="0"/>
              <w:jc w:val="center"/>
              <w:rPr>
                <w:b/>
              </w:rPr>
            </w:pPr>
            <w:r>
              <w:rPr>
                <w:b/>
              </w:rPr>
              <w:t>Người hướng dẫn</w:t>
            </w:r>
          </w:p>
          <w:p w14:paraId="6B31FCE2" w14:textId="77777777" w:rsidR="00023B92" w:rsidRDefault="00023B92" w:rsidP="004D5134">
            <w:pPr>
              <w:tabs>
                <w:tab w:val="left" w:pos="850"/>
                <w:tab w:val="left" w:pos="1191"/>
                <w:tab w:val="left" w:pos="1531"/>
              </w:tabs>
              <w:spacing w:before="0"/>
              <w:rPr>
                <w:i/>
              </w:rPr>
            </w:pPr>
          </w:p>
          <w:p w14:paraId="065DF8AB" w14:textId="77777777" w:rsidR="003C769B" w:rsidRPr="00A01E4E" w:rsidRDefault="003C769B" w:rsidP="003C769B">
            <w:pPr>
              <w:tabs>
                <w:tab w:val="left" w:pos="850"/>
                <w:tab w:val="left" w:pos="1191"/>
                <w:tab w:val="left" w:pos="1531"/>
              </w:tabs>
              <w:spacing w:before="0"/>
              <w:rPr>
                <w:i/>
                <w:sz w:val="30"/>
                <w:szCs w:val="30"/>
              </w:rPr>
            </w:pPr>
          </w:p>
          <w:p w14:paraId="009B3AEC" w14:textId="77777777" w:rsidR="00023B92" w:rsidRDefault="00DF1151" w:rsidP="00C735AB">
            <w:pPr>
              <w:tabs>
                <w:tab w:val="left" w:pos="850"/>
                <w:tab w:val="left" w:pos="1191"/>
                <w:tab w:val="left" w:pos="1531"/>
              </w:tabs>
              <w:spacing w:before="0"/>
              <w:jc w:val="center"/>
              <w:rPr>
                <w:i/>
              </w:rPr>
            </w:pPr>
            <w:r>
              <w:rPr>
                <w:b/>
              </w:rPr>
              <w:t>PGS.TS. Phan Hữu Nghị</w:t>
            </w:r>
          </w:p>
        </w:tc>
        <w:tc>
          <w:tcPr>
            <w:tcW w:w="4551" w:type="dxa"/>
            <w:vAlign w:val="center"/>
          </w:tcPr>
          <w:p w14:paraId="5E30186B" w14:textId="11D27800" w:rsidR="00023B92" w:rsidRDefault="00EA3DBE" w:rsidP="00C735AB">
            <w:pPr>
              <w:tabs>
                <w:tab w:val="left" w:pos="850"/>
                <w:tab w:val="left" w:pos="1191"/>
                <w:tab w:val="left" w:pos="1531"/>
              </w:tabs>
              <w:spacing w:before="0"/>
              <w:jc w:val="center"/>
              <w:rPr>
                <w:b/>
              </w:rPr>
            </w:pPr>
            <w:r>
              <w:rPr>
                <w:b/>
              </w:rPr>
              <w:t>Nghiên cứu sinh</w:t>
            </w:r>
          </w:p>
          <w:p w14:paraId="7CECCAD1" w14:textId="2653D573" w:rsidR="00023B92" w:rsidRPr="00A01E4E" w:rsidRDefault="00023B92" w:rsidP="00C735AB">
            <w:pPr>
              <w:tabs>
                <w:tab w:val="left" w:pos="850"/>
                <w:tab w:val="left" w:pos="1191"/>
                <w:tab w:val="left" w:pos="1531"/>
              </w:tabs>
              <w:spacing w:before="0"/>
              <w:jc w:val="center"/>
              <w:rPr>
                <w:i/>
                <w:sz w:val="26"/>
                <w:szCs w:val="26"/>
              </w:rPr>
            </w:pPr>
          </w:p>
          <w:p w14:paraId="50AB2249" w14:textId="77777777" w:rsidR="003C769B" w:rsidRPr="00A01E4E" w:rsidRDefault="003C769B" w:rsidP="003C769B">
            <w:pPr>
              <w:tabs>
                <w:tab w:val="left" w:pos="850"/>
                <w:tab w:val="left" w:pos="1191"/>
                <w:tab w:val="left" w:pos="1531"/>
              </w:tabs>
              <w:spacing w:before="0"/>
              <w:rPr>
                <w:i/>
                <w:sz w:val="28"/>
                <w:szCs w:val="28"/>
              </w:rPr>
            </w:pPr>
          </w:p>
          <w:p w14:paraId="2A1F566D" w14:textId="77777777" w:rsidR="00023B92" w:rsidRDefault="00DF1151" w:rsidP="00C735AB">
            <w:pPr>
              <w:tabs>
                <w:tab w:val="left" w:pos="850"/>
                <w:tab w:val="left" w:pos="1191"/>
                <w:tab w:val="left" w:pos="1531"/>
              </w:tabs>
              <w:spacing w:before="0"/>
              <w:jc w:val="center"/>
              <w:rPr>
                <w:i/>
              </w:rPr>
            </w:pPr>
            <w:r>
              <w:rPr>
                <w:b/>
              </w:rPr>
              <w:t>Bùi Đỗ Vân</w:t>
            </w:r>
          </w:p>
        </w:tc>
      </w:tr>
    </w:tbl>
    <w:p w14:paraId="46A01290" w14:textId="77777777" w:rsidR="00023B92" w:rsidRPr="00A01E4E" w:rsidRDefault="00023B92" w:rsidP="003C769B">
      <w:pPr>
        <w:spacing w:before="0"/>
        <w:rPr>
          <w:sz w:val="10"/>
          <w:szCs w:val="10"/>
        </w:rPr>
      </w:pPr>
    </w:p>
    <w:sectPr w:rsidR="00023B92" w:rsidRPr="00A01E4E" w:rsidSect="00A01E4E">
      <w:pgSz w:w="11907" w:h="16840" w:code="9"/>
      <w:pgMar w:top="851" w:right="1134" w:bottom="851" w:left="158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B92"/>
    <w:rsid w:val="00023B92"/>
    <w:rsid w:val="00024CF3"/>
    <w:rsid w:val="000675D9"/>
    <w:rsid w:val="00070687"/>
    <w:rsid w:val="00091ACF"/>
    <w:rsid w:val="0009593A"/>
    <w:rsid w:val="00185317"/>
    <w:rsid w:val="001C0211"/>
    <w:rsid w:val="001C332D"/>
    <w:rsid w:val="001C3644"/>
    <w:rsid w:val="001F0045"/>
    <w:rsid w:val="00220016"/>
    <w:rsid w:val="002A4CCF"/>
    <w:rsid w:val="002F61AE"/>
    <w:rsid w:val="003228A8"/>
    <w:rsid w:val="0033155E"/>
    <w:rsid w:val="003C3CC4"/>
    <w:rsid w:val="003C769B"/>
    <w:rsid w:val="003D6D66"/>
    <w:rsid w:val="00401B77"/>
    <w:rsid w:val="00434E89"/>
    <w:rsid w:val="00452472"/>
    <w:rsid w:val="0049680B"/>
    <w:rsid w:val="004D5134"/>
    <w:rsid w:val="005B6F9C"/>
    <w:rsid w:val="005C51B1"/>
    <w:rsid w:val="005D2AC2"/>
    <w:rsid w:val="005F3E07"/>
    <w:rsid w:val="00600232"/>
    <w:rsid w:val="00613885"/>
    <w:rsid w:val="00685456"/>
    <w:rsid w:val="006C2516"/>
    <w:rsid w:val="006E5AFD"/>
    <w:rsid w:val="007734D5"/>
    <w:rsid w:val="00810B20"/>
    <w:rsid w:val="008532E1"/>
    <w:rsid w:val="008854A3"/>
    <w:rsid w:val="008C3137"/>
    <w:rsid w:val="00914F31"/>
    <w:rsid w:val="009551AC"/>
    <w:rsid w:val="009C4659"/>
    <w:rsid w:val="00A01E4E"/>
    <w:rsid w:val="00A04A1F"/>
    <w:rsid w:val="00A1566F"/>
    <w:rsid w:val="00B0324D"/>
    <w:rsid w:val="00B3310C"/>
    <w:rsid w:val="00B957F1"/>
    <w:rsid w:val="00BB1A27"/>
    <w:rsid w:val="00BB5C1D"/>
    <w:rsid w:val="00BC6130"/>
    <w:rsid w:val="00C05517"/>
    <w:rsid w:val="00C735AB"/>
    <w:rsid w:val="00CE71B0"/>
    <w:rsid w:val="00D05A26"/>
    <w:rsid w:val="00DD0C22"/>
    <w:rsid w:val="00DF1151"/>
    <w:rsid w:val="00E15262"/>
    <w:rsid w:val="00E35D7E"/>
    <w:rsid w:val="00E50F32"/>
    <w:rsid w:val="00E8617F"/>
    <w:rsid w:val="00EA3DBE"/>
    <w:rsid w:val="00EB1A59"/>
    <w:rsid w:val="00EE253A"/>
    <w:rsid w:val="00EF287D"/>
    <w:rsid w:val="00F04D64"/>
    <w:rsid w:val="00F52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F3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919817">
      <w:bodyDiv w:val="1"/>
      <w:marLeft w:val="0"/>
      <w:marRight w:val="0"/>
      <w:marTop w:val="0"/>
      <w:marBottom w:val="0"/>
      <w:divBdr>
        <w:top w:val="none" w:sz="0" w:space="0" w:color="auto"/>
        <w:left w:val="none" w:sz="0" w:space="0" w:color="auto"/>
        <w:bottom w:val="none" w:sz="0" w:space="0" w:color="auto"/>
        <w:right w:val="none" w:sz="0" w:space="0" w:color="auto"/>
      </w:divBdr>
    </w:div>
    <w:div w:id="1675179727">
      <w:bodyDiv w:val="1"/>
      <w:marLeft w:val="0"/>
      <w:marRight w:val="0"/>
      <w:marTop w:val="0"/>
      <w:marBottom w:val="0"/>
      <w:divBdr>
        <w:top w:val="none" w:sz="0" w:space="0" w:color="auto"/>
        <w:left w:val="none" w:sz="0" w:space="0" w:color="auto"/>
        <w:bottom w:val="none" w:sz="0" w:space="0" w:color="auto"/>
        <w:right w:val="none" w:sz="0" w:space="0" w:color="auto"/>
      </w:divBdr>
      <w:divsChild>
        <w:div w:id="1732381616">
          <w:marLeft w:val="0"/>
          <w:marRight w:val="0"/>
          <w:marTop w:val="0"/>
          <w:marBottom w:val="0"/>
          <w:divBdr>
            <w:top w:val="none" w:sz="0" w:space="0" w:color="auto"/>
            <w:left w:val="none" w:sz="0" w:space="0" w:color="auto"/>
            <w:bottom w:val="none" w:sz="0" w:space="0" w:color="auto"/>
            <w:right w:val="none" w:sz="0" w:space="0" w:color="auto"/>
          </w:divBdr>
          <w:divsChild>
            <w:div w:id="1889148536">
              <w:marLeft w:val="0"/>
              <w:marRight w:val="0"/>
              <w:marTop w:val="0"/>
              <w:marBottom w:val="0"/>
              <w:divBdr>
                <w:top w:val="none" w:sz="0" w:space="0" w:color="auto"/>
                <w:left w:val="none" w:sz="0" w:space="0" w:color="auto"/>
                <w:bottom w:val="none" w:sz="0" w:space="0" w:color="auto"/>
                <w:right w:val="none" w:sz="0" w:space="0" w:color="auto"/>
              </w:divBdr>
              <w:divsChild>
                <w:div w:id="1727952744">
                  <w:marLeft w:val="0"/>
                  <w:marRight w:val="0"/>
                  <w:marTop w:val="0"/>
                  <w:marBottom w:val="0"/>
                  <w:divBdr>
                    <w:top w:val="none" w:sz="0" w:space="0" w:color="auto"/>
                    <w:left w:val="none" w:sz="0" w:space="0" w:color="auto"/>
                    <w:bottom w:val="none" w:sz="0" w:space="0" w:color="auto"/>
                    <w:right w:val="none" w:sz="0" w:space="0" w:color="auto"/>
                  </w:divBdr>
                  <w:divsChild>
                    <w:div w:id="1801879237">
                      <w:marLeft w:val="0"/>
                      <w:marRight w:val="0"/>
                      <w:marTop w:val="0"/>
                      <w:marBottom w:val="0"/>
                      <w:divBdr>
                        <w:top w:val="none" w:sz="0" w:space="0" w:color="auto"/>
                        <w:left w:val="none" w:sz="0" w:space="0" w:color="auto"/>
                        <w:bottom w:val="none" w:sz="0" w:space="0" w:color="auto"/>
                        <w:right w:val="none" w:sz="0" w:space="0" w:color="auto"/>
                      </w:divBdr>
                      <w:divsChild>
                        <w:div w:id="1381712580">
                          <w:marLeft w:val="0"/>
                          <w:marRight w:val="0"/>
                          <w:marTop w:val="0"/>
                          <w:marBottom w:val="0"/>
                          <w:divBdr>
                            <w:top w:val="none" w:sz="0" w:space="0" w:color="auto"/>
                            <w:left w:val="none" w:sz="0" w:space="0" w:color="auto"/>
                            <w:bottom w:val="none" w:sz="0" w:space="0" w:color="auto"/>
                            <w:right w:val="none" w:sz="0" w:space="0" w:color="auto"/>
                          </w:divBdr>
                          <w:divsChild>
                            <w:div w:id="655688426">
                              <w:marLeft w:val="0"/>
                              <w:marRight w:val="0"/>
                              <w:marTop w:val="0"/>
                              <w:marBottom w:val="0"/>
                              <w:divBdr>
                                <w:top w:val="none" w:sz="0" w:space="0" w:color="auto"/>
                                <w:left w:val="none" w:sz="0" w:space="0" w:color="auto"/>
                                <w:bottom w:val="none" w:sz="0" w:space="0" w:color="auto"/>
                                <w:right w:val="none" w:sz="0" w:space="0" w:color="auto"/>
                              </w:divBdr>
                              <w:divsChild>
                                <w:div w:id="1735812311">
                                  <w:marLeft w:val="0"/>
                                  <w:marRight w:val="0"/>
                                  <w:marTop w:val="0"/>
                                  <w:marBottom w:val="0"/>
                                  <w:divBdr>
                                    <w:top w:val="none" w:sz="0" w:space="0" w:color="auto"/>
                                    <w:left w:val="none" w:sz="0" w:space="0" w:color="auto"/>
                                    <w:bottom w:val="none" w:sz="0" w:space="0" w:color="auto"/>
                                    <w:right w:val="none" w:sz="0" w:space="0" w:color="auto"/>
                                  </w:divBdr>
                                  <w:divsChild>
                                    <w:div w:id="98778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633323087940F3A912FAB334D03BDC"/>
        <w:category>
          <w:name w:val="General"/>
          <w:gallery w:val="placeholder"/>
        </w:category>
        <w:types>
          <w:type w:val="bbPlcHdr"/>
        </w:types>
        <w:behaviors>
          <w:behavior w:val="content"/>
        </w:behaviors>
        <w:guid w:val="{1E83EE95-B89A-4CDE-BEAC-3475E223E1B7}"/>
      </w:docPartPr>
      <w:docPartBody>
        <w:p w:rsidR="00115D60" w:rsidRDefault="00115D60" w:rsidP="00115D60">
          <w:pPr>
            <w:pStyle w:val="E5633323087940F3A912FAB334D03BDC"/>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B53"/>
    <w:rsid w:val="00073BEF"/>
    <w:rsid w:val="00087028"/>
    <w:rsid w:val="00115D60"/>
    <w:rsid w:val="001A16EA"/>
    <w:rsid w:val="001A5C5B"/>
    <w:rsid w:val="00220016"/>
    <w:rsid w:val="00224BE8"/>
    <w:rsid w:val="00266B84"/>
    <w:rsid w:val="00292DFB"/>
    <w:rsid w:val="002F61AE"/>
    <w:rsid w:val="003228A8"/>
    <w:rsid w:val="00336DB1"/>
    <w:rsid w:val="003D6D66"/>
    <w:rsid w:val="004C120B"/>
    <w:rsid w:val="00571103"/>
    <w:rsid w:val="00574B53"/>
    <w:rsid w:val="00721B5A"/>
    <w:rsid w:val="00810B20"/>
    <w:rsid w:val="008532E1"/>
    <w:rsid w:val="0093134B"/>
    <w:rsid w:val="00A42872"/>
    <w:rsid w:val="00A7196A"/>
    <w:rsid w:val="00AA19CD"/>
    <w:rsid w:val="00B077E5"/>
    <w:rsid w:val="00BD0595"/>
    <w:rsid w:val="00C05517"/>
    <w:rsid w:val="00C55D86"/>
    <w:rsid w:val="00C61A02"/>
    <w:rsid w:val="00C70200"/>
    <w:rsid w:val="00D526A2"/>
    <w:rsid w:val="00E0058E"/>
    <w:rsid w:val="00E03CDD"/>
    <w:rsid w:val="00E55C5C"/>
    <w:rsid w:val="00E70EFE"/>
    <w:rsid w:val="00EC2400"/>
    <w:rsid w:val="00FC7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D60"/>
    <w:rPr>
      <w:color w:val="808080"/>
    </w:rPr>
  </w:style>
  <w:style w:type="paragraph" w:customStyle="1" w:styleId="E5633323087940F3A912FAB334D03BDC">
    <w:name w:val="E5633323087940F3A912FAB334D03BDC"/>
    <w:rsid w:val="00115D6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11</cp:revision>
  <dcterms:created xsi:type="dcterms:W3CDTF">2026-05-17T23:47:00Z</dcterms:created>
  <dcterms:modified xsi:type="dcterms:W3CDTF">2026-05-27T23:12:00Z</dcterms:modified>
</cp:coreProperties>
</file>