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542F7" w14:textId="77777777" w:rsidR="00BA0019" w:rsidRDefault="00BA0019" w:rsidP="00BA0019">
      <w:pPr>
        <w:spacing w:after="120"/>
        <w:jc w:val="center"/>
        <w:rPr>
          <w:b/>
        </w:rPr>
      </w:pPr>
      <w:r>
        <w:rPr>
          <w:b/>
        </w:rPr>
        <w:t>NEW CONTRIBUTIONS OF THE THESIS</w:t>
      </w:r>
    </w:p>
    <w:p w14:paraId="0C26D434" w14:textId="0B887863" w:rsidR="00BA0019" w:rsidRPr="008854A3" w:rsidRDefault="00BA0019" w:rsidP="00BA0019">
      <w:pPr>
        <w:spacing w:before="240" w:line="264" w:lineRule="auto"/>
        <w:rPr>
          <w:b/>
          <w:iCs/>
        </w:rPr>
      </w:pPr>
      <w:r>
        <w:rPr>
          <w:b/>
        </w:rPr>
        <w:t xml:space="preserve">Dissertation </w:t>
      </w:r>
      <w:r w:rsidR="00FD46B8" w:rsidRPr="00FD46B8">
        <w:rPr>
          <w:b/>
        </w:rPr>
        <w:t>Title</w:t>
      </w:r>
      <w:r>
        <w:t xml:space="preserve">: </w:t>
      </w:r>
      <w:r>
        <w:rPr>
          <w:b/>
          <w:i/>
          <w:iCs/>
        </w:rPr>
        <w:t>Research on the impact of policy uncertainty on corporate tax avoidance.</w:t>
      </w:r>
    </w:p>
    <w:p w14:paraId="48A77388" w14:textId="542BF069" w:rsidR="00BA0019" w:rsidRPr="008854A3" w:rsidRDefault="00B31C40" w:rsidP="00BA0019">
      <w:pPr>
        <w:spacing w:before="60" w:line="264" w:lineRule="auto"/>
        <w:jc w:val="left"/>
      </w:pPr>
      <w:r w:rsidRPr="00B31C40">
        <w:t>Specialization</w:t>
      </w:r>
      <w:r w:rsidR="00BA0019">
        <w:t xml:space="preserve">: </w:t>
      </w:r>
      <w:r w:rsidR="00BA0019" w:rsidRPr="00E94A6D">
        <w:rPr>
          <w:b/>
          <w:bCs/>
        </w:rPr>
        <w:t xml:space="preserve">Finance - Banking </w:t>
      </w:r>
      <w:r w:rsidR="00BA0019" w:rsidRPr="00E94A6D">
        <w:rPr>
          <w:b/>
          <w:bCs/>
        </w:rPr>
        <w:tab/>
      </w:r>
      <w:r w:rsidR="00BA0019" w:rsidRPr="00E94A6D">
        <w:rPr>
          <w:b/>
          <w:bCs/>
        </w:rPr>
        <w:tab/>
      </w:r>
      <w:r w:rsidR="00FD46B8">
        <w:t>C</w:t>
      </w:r>
      <w:r w:rsidR="00BA0019">
        <w:t>ode:</w:t>
      </w:r>
      <w:r w:rsidR="00BA0019">
        <w:rPr>
          <w:rFonts w:ascii=".VnAvant" w:hAnsi=".VnAvant"/>
          <w:b/>
          <w:spacing w:val="-4"/>
          <w:lang w:val="it-IT"/>
        </w:rPr>
        <w:t xml:space="preserve"> </w:t>
      </w:r>
      <w:r w:rsidR="00BA0019" w:rsidRPr="00E94A6D">
        <w:rPr>
          <w:b/>
          <w:bCs/>
        </w:rPr>
        <w:t>9340201</w:t>
      </w:r>
    </w:p>
    <w:p w14:paraId="5B07FB6D" w14:textId="43E128FB" w:rsidR="00BA0019" w:rsidRPr="00B31C40" w:rsidRDefault="00B31C40" w:rsidP="00B31C40">
      <w:pPr>
        <w:rPr>
          <w:b/>
        </w:rPr>
      </w:pPr>
      <w:r w:rsidRPr="00B31C40">
        <w:t>Ph.D.</w:t>
      </w:r>
      <w:r>
        <w:t xml:space="preserve"> </w:t>
      </w:r>
      <w:r w:rsidR="00BA0019">
        <w:t xml:space="preserve">candidate: </w:t>
      </w:r>
      <w:r w:rsidR="00BA0019">
        <w:rPr>
          <w:b/>
        </w:rPr>
        <w:t>Bui Do Van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C456853" w14:textId="77777777" w:rsidR="00BA0019" w:rsidRPr="00070687" w:rsidRDefault="00BA0019" w:rsidP="00B31C40">
      <w:pPr>
        <w:spacing w:before="60" w:line="264" w:lineRule="auto"/>
        <w:jc w:val="left"/>
        <w:rPr>
          <w:b/>
        </w:rPr>
      </w:pPr>
      <w:r w:rsidRPr="00B31C40">
        <w:rPr>
          <w:b/>
        </w:rPr>
        <w:t>S</w:t>
      </w:r>
      <w:r>
        <w:t xml:space="preserve">upervisor: </w:t>
      </w:r>
      <w:r>
        <w:rPr>
          <w:b/>
        </w:rPr>
        <w:t>Assoc. Prof. Dr. Phan Huu Nghi</w:t>
      </w:r>
    </w:p>
    <w:p w14:paraId="6DC02F49" w14:textId="274CB11B" w:rsidR="00BA0019" w:rsidRDefault="00B31C40" w:rsidP="00BA0019">
      <w:pPr>
        <w:spacing w:before="60" w:line="264" w:lineRule="auto"/>
        <w:jc w:val="left"/>
      </w:pPr>
      <w:r w:rsidRPr="00B31C40">
        <w:t>Institution</w:t>
      </w:r>
      <w:r w:rsidR="00BA0019">
        <w:t xml:space="preserve">: </w:t>
      </w:r>
      <w:r w:rsidR="00BA0019" w:rsidRPr="00E94A6D">
        <w:rPr>
          <w:b/>
          <w:bCs/>
        </w:rPr>
        <w:t xml:space="preserve"> </w:t>
      </w:r>
      <w:r w:rsidR="003F4AC8" w:rsidRPr="00E94A6D">
        <w:rPr>
          <w:b/>
          <w:bCs/>
        </w:rPr>
        <w:t>National Economics University</w:t>
      </w:r>
    </w:p>
    <w:p w14:paraId="1B85A5C7" w14:textId="77777777" w:rsidR="00B31C40" w:rsidRDefault="00B31C40" w:rsidP="00E94A6D">
      <w:pPr>
        <w:rPr>
          <w:b/>
          <w:spacing w:val="-2"/>
        </w:rPr>
      </w:pPr>
      <w:r w:rsidRPr="00B31C40">
        <w:rPr>
          <w:b/>
          <w:spacing w:val="-2"/>
        </w:rPr>
        <w:t>New Academic and Theoretical Contributions</w:t>
      </w:r>
    </w:p>
    <w:p w14:paraId="2EC90AD2" w14:textId="77777777" w:rsidR="00B31C40" w:rsidRDefault="00BA0019" w:rsidP="00BA0019">
      <w:pPr>
        <w:spacing w:before="80"/>
      </w:pPr>
      <w:r w:rsidRPr="00606E88">
        <w:t xml:space="preserve">This dissertation contributes theoretically in three ways. </w:t>
      </w:r>
    </w:p>
    <w:p w14:paraId="63E689AD" w14:textId="5984BC40" w:rsidR="00857338" w:rsidRPr="00857338" w:rsidRDefault="00857338" w:rsidP="00857338">
      <w:pPr>
        <w:spacing w:before="80"/>
        <w:rPr>
          <w:i/>
          <w:iCs/>
        </w:rPr>
      </w:pPr>
      <w:r w:rsidRPr="00857338">
        <w:rPr>
          <w:iCs/>
        </w:rPr>
        <w:t>1.</w:t>
      </w:r>
      <w:r>
        <w:t xml:space="preserve"> </w:t>
      </w:r>
      <w:r w:rsidR="00B31C40">
        <w:t>A</w:t>
      </w:r>
      <w:r w:rsidR="00BA0019" w:rsidRPr="00B31C40">
        <w:t>pplies</w:t>
      </w:r>
      <w:r w:rsidR="00BA0019" w:rsidRPr="00606E88">
        <w:t xml:space="preserve"> the theory of </w:t>
      </w:r>
      <w:r w:rsidR="002460D3" w:rsidRPr="002460D3">
        <w:t xml:space="preserve">precautionary motive </w:t>
      </w:r>
      <w:r w:rsidR="00BA0019" w:rsidRPr="00606E88">
        <w:t xml:space="preserve">(Keynes, 1936), </w:t>
      </w:r>
      <w:r w:rsidR="002460D3">
        <w:t>Real o</w:t>
      </w:r>
      <w:r w:rsidR="002460D3" w:rsidRPr="002460D3">
        <w:t xml:space="preserve">ptions approach to investment </w:t>
      </w:r>
      <w:r w:rsidR="00BA0019" w:rsidRPr="00606E88">
        <w:t xml:space="preserve">(Dixit &amp; Pindyck, 1994), and agency theory (Jensen &amp; </w:t>
      </w:r>
      <w:proofErr w:type="spellStart"/>
      <w:r w:rsidR="00BA0019" w:rsidRPr="00606E88">
        <w:t>Meckling</w:t>
      </w:r>
      <w:proofErr w:type="spellEnd"/>
      <w:r w:rsidR="00BA0019" w:rsidRPr="00606E88">
        <w:t xml:space="preserve">, 1976) to construct a multi-mechanism analytical framework, explaining the two-way nature of the impact of policy uncertainty </w:t>
      </w:r>
      <w:r w:rsidR="00D8306A">
        <w:t>on corporate tax avoidance</w:t>
      </w:r>
      <w:r w:rsidR="00BA0019" w:rsidRPr="00606E88">
        <w:t xml:space="preserve">. </w:t>
      </w:r>
    </w:p>
    <w:p w14:paraId="1580DDFF" w14:textId="5B148C38" w:rsidR="00857338" w:rsidRDefault="00857338" w:rsidP="00857338">
      <w:pPr>
        <w:rPr>
          <w:i/>
          <w:iCs/>
        </w:rPr>
      </w:pPr>
      <w:r>
        <w:t>2. S</w:t>
      </w:r>
      <w:r w:rsidR="00BA0019" w:rsidRPr="00606E88">
        <w:t xml:space="preserve">ystematizes </w:t>
      </w:r>
      <w:r w:rsidR="003F4AC8" w:rsidRPr="003F4AC8">
        <w:t>four transmission mechanisms</w:t>
      </w:r>
      <w:r w:rsidR="00383B4B">
        <w:t xml:space="preserve"> of the impact of policy uncertainty on </w:t>
      </w:r>
      <w:r w:rsidR="00D8306A">
        <w:t>corporate tax avoidance</w:t>
      </w:r>
      <w:r w:rsidR="003F4AC8" w:rsidRPr="003F4AC8">
        <w:t xml:space="preserve"> and </w:t>
      </w:r>
      <w:r w:rsidR="00192D30">
        <w:t xml:space="preserve">their </w:t>
      </w:r>
      <w:r w:rsidR="003F4AC8" w:rsidRPr="003F4AC8">
        <w:t xml:space="preserve">conditions regarding legal compliance, governance-supervision, cost-benefit, and </w:t>
      </w:r>
      <w:r w:rsidR="003F4AC8">
        <w:t>internal regulations</w:t>
      </w:r>
      <w:r w:rsidR="00BA0019" w:rsidRPr="00606E88">
        <w:t xml:space="preserve">. </w:t>
      </w:r>
    </w:p>
    <w:p w14:paraId="1EF8EEA1" w14:textId="3F97DEDD" w:rsidR="00BA0019" w:rsidRPr="00857338" w:rsidRDefault="00857338" w:rsidP="00857338">
      <w:pPr>
        <w:rPr>
          <w:b/>
        </w:rPr>
      </w:pPr>
      <w:r>
        <w:t>3. A</w:t>
      </w:r>
      <w:r w:rsidR="00BA0019" w:rsidRPr="00606E88">
        <w:t>pplies the Driscoll-</w:t>
      </w:r>
      <w:proofErr w:type="spellStart"/>
      <w:r w:rsidR="00BA0019" w:rsidRPr="00606E88">
        <w:t>Kraay</w:t>
      </w:r>
      <w:proofErr w:type="spellEnd"/>
      <w:r w:rsidR="00BA0019" w:rsidRPr="00606E88">
        <w:t xml:space="preserve"> standard error to simultaneously address three panel data defects, enhancing the relia</w:t>
      </w:r>
      <w:r w:rsidR="008E1E69">
        <w:t>bility of statistical inference.</w:t>
      </w:r>
    </w:p>
    <w:p w14:paraId="4EE764B7" w14:textId="4954065B" w:rsidR="00BA0019" w:rsidRDefault="001D24FB" w:rsidP="00BA0019">
      <w:pPr>
        <w:spacing w:before="80"/>
        <w:rPr>
          <w:b/>
        </w:rPr>
      </w:pPr>
      <w:r w:rsidRPr="001D24FB">
        <w:rPr>
          <w:b/>
        </w:rPr>
        <w:t>Key Findings and New Proposals from the Dissertation</w:t>
      </w:r>
    </w:p>
    <w:p w14:paraId="1E0F97BD" w14:textId="202641D5" w:rsidR="00BA0019" w:rsidRPr="00857338" w:rsidRDefault="00857338" w:rsidP="00857338">
      <w:pPr>
        <w:spacing w:before="80"/>
        <w:rPr>
          <w:i/>
          <w:iCs/>
        </w:rPr>
      </w:pPr>
      <w:r w:rsidRPr="00857338">
        <w:rPr>
          <w:iCs/>
        </w:rPr>
        <w:t>1.</w:t>
      </w:r>
      <w:r>
        <w:t xml:space="preserve"> S</w:t>
      </w:r>
      <w:r w:rsidR="00AE5C7E">
        <w:t>tat</w:t>
      </w:r>
      <w:r w:rsidR="00AE5C7E" w:rsidRPr="00E94A6D">
        <w:rPr>
          <w:spacing w:val="-4"/>
        </w:rPr>
        <w:t>istical</w:t>
      </w:r>
      <w:r w:rsidR="00BA0019" w:rsidRPr="00E94A6D">
        <w:rPr>
          <w:spacing w:val="-4"/>
        </w:rPr>
        <w:t xml:space="preserve"> negative impact on long-term tax avoidance of </w:t>
      </w:r>
      <w:r w:rsidR="00AE5C7E" w:rsidRPr="00E94A6D">
        <w:rPr>
          <w:spacing w:val="-4"/>
        </w:rPr>
        <w:t xml:space="preserve">Vietnam </w:t>
      </w:r>
      <w:r w:rsidR="00BA0019" w:rsidRPr="00E94A6D">
        <w:rPr>
          <w:spacing w:val="-4"/>
        </w:rPr>
        <w:t xml:space="preserve">listed companies (measured by </w:t>
      </w:r>
      <w:r w:rsidR="00762948" w:rsidRPr="00E94A6D">
        <w:rPr>
          <w:spacing w:val="-4"/>
        </w:rPr>
        <w:t xml:space="preserve">scaled </w:t>
      </w:r>
      <w:r w:rsidR="00BA0019" w:rsidRPr="00E94A6D">
        <w:rPr>
          <w:spacing w:val="-4"/>
        </w:rPr>
        <w:t xml:space="preserve">BTD), while no significant impact was found on short-term cash tax (Cash ETR). This provides direct quantitative evidence of this relationship in the Vietnamese context. </w:t>
      </w:r>
      <w:r w:rsidRPr="00E94A6D">
        <w:rPr>
          <w:spacing w:val="-4"/>
        </w:rPr>
        <w:t>D</w:t>
      </w:r>
      <w:r w:rsidR="00BA0019" w:rsidRPr="00E94A6D">
        <w:rPr>
          <w:spacing w:val="-4"/>
        </w:rPr>
        <w:t>ivergence between two measures confirms that policy uncertainty has a selective impact</w:t>
      </w:r>
      <w:r w:rsidR="00A174F1" w:rsidRPr="00E94A6D">
        <w:rPr>
          <w:spacing w:val="-4"/>
        </w:rPr>
        <w:t>-</w:t>
      </w:r>
      <w:r w:rsidR="00BA0019" w:rsidRPr="00E94A6D">
        <w:rPr>
          <w:spacing w:val="-4"/>
        </w:rPr>
        <w:t>primarily on long-term structural accounting and tax strategies through market govern</w:t>
      </w:r>
      <w:r w:rsidR="00A174F1" w:rsidRPr="00E94A6D">
        <w:rPr>
          <w:spacing w:val="-4"/>
        </w:rPr>
        <w:t xml:space="preserve">ance and supervision mechanisms - </w:t>
      </w:r>
      <w:r w:rsidR="00BA0019" w:rsidRPr="00E94A6D">
        <w:rPr>
          <w:spacing w:val="-4"/>
        </w:rPr>
        <w:t xml:space="preserve">and does not spread evenly to short-term cash tax obligations, which are heavily influenced by technical factors. </w:t>
      </w:r>
      <w:r w:rsidRPr="00E94A6D">
        <w:rPr>
          <w:spacing w:val="-4"/>
        </w:rPr>
        <w:t>C</w:t>
      </w:r>
      <w:r w:rsidR="00BA0019" w:rsidRPr="00E94A6D">
        <w:rPr>
          <w:spacing w:val="-4"/>
        </w:rPr>
        <w:t xml:space="preserve">ontrol variables show that policy uncertainty </w:t>
      </w:r>
      <w:r w:rsidR="00A174F1" w:rsidRPr="00E94A6D">
        <w:rPr>
          <w:spacing w:val="-4"/>
        </w:rPr>
        <w:t xml:space="preserve">impacts </w:t>
      </w:r>
      <w:r w:rsidR="00AC1AB9" w:rsidRPr="00E94A6D">
        <w:rPr>
          <w:spacing w:val="-4"/>
        </w:rPr>
        <w:t>are</w:t>
      </w:r>
      <w:r w:rsidR="00BA0019" w:rsidRPr="00E94A6D">
        <w:rPr>
          <w:spacing w:val="-4"/>
        </w:rPr>
        <w:t xml:space="preserve"> not uniform across high-profit companies with a large proportion of tangible assets and deep international integration experience stronger restraining effects on tax avoidance due to higher levels of supervision.</w:t>
      </w:r>
    </w:p>
    <w:p w14:paraId="573CE1F6" w14:textId="3F986E72" w:rsidR="00BA0019" w:rsidRDefault="00857338" w:rsidP="00BA0019">
      <w:pPr>
        <w:spacing w:before="80"/>
      </w:pPr>
      <w:r>
        <w:rPr>
          <w:color w:val="000000" w:themeColor="text1"/>
        </w:rPr>
        <w:t xml:space="preserve">2. </w:t>
      </w:r>
      <w:r w:rsidR="00EB6222">
        <w:rPr>
          <w:color w:val="000000" w:themeColor="text1"/>
        </w:rPr>
        <w:t>P</w:t>
      </w:r>
      <w:r w:rsidR="00BA0019">
        <w:rPr>
          <w:color w:val="000000" w:themeColor="text1"/>
        </w:rPr>
        <w:t>roposes several policy implications. For the Government</w:t>
      </w:r>
      <w:r w:rsidR="00A34AE0">
        <w:rPr>
          <w:color w:val="000000" w:themeColor="text1"/>
        </w:rPr>
        <w:t>:</w:t>
      </w:r>
      <w:r w:rsidR="00BA0019">
        <w:rPr>
          <w:color w:val="000000" w:themeColor="text1"/>
        </w:rPr>
        <w:t xml:space="preserve"> enhance the stability, transparency, and predictability of economic policies to limit incentives for high-risk tax avoidance. </w:t>
      </w:r>
      <w:r w:rsidR="00BA0019">
        <w:t xml:space="preserve">This includes designing tax management policies </w:t>
      </w:r>
      <w:r w:rsidR="00932EDF">
        <w:t xml:space="preserve">with </w:t>
      </w:r>
      <w:r w:rsidR="00BA0019">
        <w:t>differentiated according to business cha</w:t>
      </w:r>
      <w:r w:rsidR="00BA0019" w:rsidRPr="00E94A6D">
        <w:rPr>
          <w:spacing w:val="-4"/>
        </w:rPr>
        <w:t xml:space="preserve">racteristics, prioritizing close monitoring of highly profitable groups with high levels of international integration during periods of increasing uncertainty, and implementing </w:t>
      </w:r>
      <w:r w:rsidR="00BA0019" w:rsidRPr="00E94A6D">
        <w:rPr>
          <w:color w:val="000000" w:themeColor="text1"/>
          <w:spacing w:val="-4"/>
        </w:rPr>
        <w:t xml:space="preserve">Resolution 107/2023/QH15, Decree 236/2025/ND-CP, and </w:t>
      </w:r>
      <w:r w:rsidR="008F4A43">
        <w:rPr>
          <w:color w:val="000000" w:themeColor="text1"/>
          <w:spacing w:val="-4"/>
        </w:rPr>
        <w:t xml:space="preserve">the </w:t>
      </w:r>
      <w:r w:rsidR="00932EDF" w:rsidRPr="00E94A6D">
        <w:rPr>
          <w:color w:val="000000" w:themeColor="text1"/>
          <w:spacing w:val="-4"/>
        </w:rPr>
        <w:t xml:space="preserve">2025 Tax Management Law, </w:t>
      </w:r>
      <w:r w:rsidR="00BA0019" w:rsidRPr="00E94A6D">
        <w:rPr>
          <w:color w:val="000000" w:themeColor="text1"/>
          <w:spacing w:val="-4"/>
        </w:rPr>
        <w:t>coordinated manner to create policy opportunities to institutionalize</w:t>
      </w:r>
      <w:r w:rsidR="00655FAC" w:rsidRPr="00E94A6D">
        <w:rPr>
          <w:color w:val="000000" w:themeColor="text1"/>
          <w:spacing w:val="-4"/>
        </w:rPr>
        <w:t xml:space="preserve"> pressure for tax transparency</w:t>
      </w:r>
      <w:r w:rsidR="00A34AE0" w:rsidRPr="00E94A6D">
        <w:rPr>
          <w:color w:val="000000" w:themeColor="text1"/>
          <w:spacing w:val="-4"/>
        </w:rPr>
        <w:t xml:space="preserve">. For tax authorities: </w:t>
      </w:r>
      <w:r w:rsidR="00BA0019" w:rsidRPr="00E94A6D">
        <w:rPr>
          <w:color w:val="000000" w:themeColor="text1"/>
          <w:spacing w:val="-4"/>
        </w:rPr>
        <w:t xml:space="preserve">shift </w:t>
      </w:r>
      <w:r w:rsidR="00BA0019" w:rsidRPr="00E94A6D">
        <w:rPr>
          <w:spacing w:val="-4"/>
        </w:rPr>
        <w:t>to risk-based tax management, focusing on businesses with high leverage, complex as</w:t>
      </w:r>
      <w:r w:rsidR="00BA0019">
        <w:t xml:space="preserve">set structures, and cross-border operations. </w:t>
      </w:r>
      <w:r w:rsidR="00A34AE0">
        <w:t>For</w:t>
      </w:r>
      <w:r w:rsidR="00BA0019">
        <w:t xml:space="preserve"> businesses</w:t>
      </w:r>
      <w:r w:rsidR="00A34AE0">
        <w:t xml:space="preserve">: </w:t>
      </w:r>
      <w:r w:rsidR="00BA0019">
        <w:t>integrate tax governance into overall risk management and prioritize financial transparency to ensure sustainable development.</w:t>
      </w:r>
    </w:p>
    <w:p w14:paraId="04A15D09" w14:textId="77777777" w:rsidR="00E94A6D" w:rsidRPr="00E94A6D" w:rsidRDefault="00E94A6D" w:rsidP="00BA0019">
      <w:pPr>
        <w:spacing w:before="80"/>
        <w:rPr>
          <w:sz w:val="8"/>
          <w:szCs w:val="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40011" w:rsidRPr="00E94A6D" w14:paraId="41D76E81" w14:textId="77777777" w:rsidTr="00D52C95">
        <w:trPr>
          <w:trHeight w:val="1063"/>
        </w:trPr>
        <w:tc>
          <w:tcPr>
            <w:tcW w:w="4531" w:type="dxa"/>
          </w:tcPr>
          <w:p w14:paraId="72E0475B" w14:textId="4451B742" w:rsidR="00A40011" w:rsidRPr="00E94A6D" w:rsidRDefault="00A40011" w:rsidP="00A174F1">
            <w:pPr>
              <w:spacing w:before="80"/>
              <w:jc w:val="center"/>
              <w:rPr>
                <w:b/>
              </w:rPr>
            </w:pPr>
            <w:r w:rsidRPr="00E94A6D">
              <w:rPr>
                <w:b/>
              </w:rPr>
              <w:t>Instructor</w:t>
            </w:r>
          </w:p>
          <w:p w14:paraId="211E5310" w14:textId="3D7AC39D" w:rsidR="00A40011" w:rsidRDefault="00A40011" w:rsidP="00A40011">
            <w:pPr>
              <w:spacing w:before="80"/>
              <w:rPr>
                <w:b/>
              </w:rPr>
            </w:pPr>
          </w:p>
          <w:p w14:paraId="29AF315B" w14:textId="77777777" w:rsidR="00E94A6D" w:rsidRPr="00E94A6D" w:rsidRDefault="00E94A6D" w:rsidP="00A40011">
            <w:pPr>
              <w:spacing w:before="80"/>
              <w:rPr>
                <w:b/>
                <w:sz w:val="12"/>
                <w:szCs w:val="12"/>
              </w:rPr>
            </w:pPr>
          </w:p>
          <w:p w14:paraId="2944E724" w14:textId="236560F6" w:rsidR="00A40011" w:rsidRPr="00E94A6D" w:rsidRDefault="00A40011" w:rsidP="00A40011">
            <w:pPr>
              <w:spacing w:before="80"/>
              <w:jc w:val="center"/>
              <w:rPr>
                <w:b/>
              </w:rPr>
            </w:pPr>
            <w:r w:rsidRPr="00E94A6D">
              <w:rPr>
                <w:b/>
              </w:rPr>
              <w:t>Assoc. Prof. Dr. Phan Huu Nghi</w:t>
            </w:r>
          </w:p>
        </w:tc>
        <w:tc>
          <w:tcPr>
            <w:tcW w:w="4531" w:type="dxa"/>
          </w:tcPr>
          <w:p w14:paraId="5FCA4919" w14:textId="515F1704" w:rsidR="00A40011" w:rsidRPr="00E94A6D" w:rsidRDefault="00A40011" w:rsidP="00A174F1">
            <w:pPr>
              <w:spacing w:before="80"/>
              <w:jc w:val="center"/>
              <w:rPr>
                <w:b/>
                <w:lang w:val="nl-BE"/>
              </w:rPr>
            </w:pPr>
            <w:r w:rsidRPr="00E94A6D">
              <w:rPr>
                <w:b/>
                <w:lang w:val="nl-BE"/>
              </w:rPr>
              <w:t>PhD student</w:t>
            </w:r>
          </w:p>
          <w:p w14:paraId="6E63245D" w14:textId="78F11155" w:rsidR="00A40011" w:rsidRDefault="00A40011" w:rsidP="00A40011">
            <w:pPr>
              <w:spacing w:before="80"/>
              <w:rPr>
                <w:b/>
                <w:lang w:val="nl-BE"/>
              </w:rPr>
            </w:pPr>
          </w:p>
          <w:p w14:paraId="5332DB79" w14:textId="77777777" w:rsidR="00E94A6D" w:rsidRPr="00E94A6D" w:rsidRDefault="00E94A6D" w:rsidP="00A40011">
            <w:pPr>
              <w:spacing w:before="80"/>
              <w:rPr>
                <w:b/>
                <w:sz w:val="14"/>
                <w:szCs w:val="14"/>
                <w:lang w:val="nl-BE"/>
              </w:rPr>
            </w:pPr>
          </w:p>
          <w:p w14:paraId="5364171C" w14:textId="611A8998" w:rsidR="00E94A6D" w:rsidRPr="00E94A6D" w:rsidRDefault="00A40011" w:rsidP="00E94A6D">
            <w:pPr>
              <w:spacing w:before="80"/>
              <w:jc w:val="center"/>
              <w:rPr>
                <w:b/>
                <w:lang w:val="nl-BE"/>
              </w:rPr>
            </w:pPr>
            <w:r w:rsidRPr="00E94A6D">
              <w:rPr>
                <w:b/>
                <w:lang w:val="nl-BE"/>
              </w:rPr>
              <w:t>Bui Do Van</w:t>
            </w:r>
          </w:p>
        </w:tc>
      </w:tr>
    </w:tbl>
    <w:p w14:paraId="46A01290" w14:textId="65C58AC2" w:rsidR="00023B92" w:rsidRPr="00E94A6D" w:rsidRDefault="00023B92" w:rsidP="00383B4B">
      <w:pPr>
        <w:spacing w:before="80"/>
        <w:rPr>
          <w:lang w:val="nl-BE"/>
        </w:rPr>
      </w:pPr>
    </w:p>
    <w:sectPr w:rsidR="00023B92" w:rsidRPr="00E94A6D" w:rsidSect="00E94A6D">
      <w:pgSz w:w="11907" w:h="16840" w:code="9"/>
      <w:pgMar w:top="709" w:right="1134" w:bottom="510" w:left="153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vant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7163C"/>
    <w:multiLevelType w:val="hybridMultilevel"/>
    <w:tmpl w:val="7CEAB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554EA8"/>
    <w:multiLevelType w:val="hybridMultilevel"/>
    <w:tmpl w:val="224A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636157">
    <w:abstractNumId w:val="0"/>
  </w:num>
  <w:num w:numId="2" w16cid:durableId="226573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cumentProtection w:edit="readOnly" w:enforcement="0"/>
  <w:defaultTabStop w:val="72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B92"/>
    <w:rsid w:val="00023B92"/>
    <w:rsid w:val="00024CF3"/>
    <w:rsid w:val="000675D9"/>
    <w:rsid w:val="00070687"/>
    <w:rsid w:val="00091ACF"/>
    <w:rsid w:val="000945B3"/>
    <w:rsid w:val="0009593A"/>
    <w:rsid w:val="00192D30"/>
    <w:rsid w:val="001C0211"/>
    <w:rsid w:val="001C332D"/>
    <w:rsid w:val="001C3644"/>
    <w:rsid w:val="001D24FB"/>
    <w:rsid w:val="001F0045"/>
    <w:rsid w:val="00220016"/>
    <w:rsid w:val="002460D3"/>
    <w:rsid w:val="00247401"/>
    <w:rsid w:val="002A4CCF"/>
    <w:rsid w:val="002F61AE"/>
    <w:rsid w:val="00322649"/>
    <w:rsid w:val="0033155E"/>
    <w:rsid w:val="00383B4B"/>
    <w:rsid w:val="003C3CC4"/>
    <w:rsid w:val="003C769B"/>
    <w:rsid w:val="003D6D66"/>
    <w:rsid w:val="003F4AC8"/>
    <w:rsid w:val="00401B77"/>
    <w:rsid w:val="00434E89"/>
    <w:rsid w:val="00452472"/>
    <w:rsid w:val="004D5134"/>
    <w:rsid w:val="005B6F9C"/>
    <w:rsid w:val="005C51B1"/>
    <w:rsid w:val="005D2AC2"/>
    <w:rsid w:val="005F3E07"/>
    <w:rsid w:val="00600232"/>
    <w:rsid w:val="00613885"/>
    <w:rsid w:val="00655FAC"/>
    <w:rsid w:val="00677299"/>
    <w:rsid w:val="00685456"/>
    <w:rsid w:val="006C2516"/>
    <w:rsid w:val="006E5AFD"/>
    <w:rsid w:val="007030A0"/>
    <w:rsid w:val="00762948"/>
    <w:rsid w:val="007734D5"/>
    <w:rsid w:val="00810B20"/>
    <w:rsid w:val="008532E1"/>
    <w:rsid w:val="00857338"/>
    <w:rsid w:val="008854A3"/>
    <w:rsid w:val="008C3137"/>
    <w:rsid w:val="008E1E69"/>
    <w:rsid w:val="008F4A43"/>
    <w:rsid w:val="00914F31"/>
    <w:rsid w:val="00932EDF"/>
    <w:rsid w:val="009551AC"/>
    <w:rsid w:val="009C4659"/>
    <w:rsid w:val="00A04A1F"/>
    <w:rsid w:val="00A1566F"/>
    <w:rsid w:val="00A174F1"/>
    <w:rsid w:val="00A34AE0"/>
    <w:rsid w:val="00A40011"/>
    <w:rsid w:val="00AC1AB9"/>
    <w:rsid w:val="00AE5C7E"/>
    <w:rsid w:val="00B0324D"/>
    <w:rsid w:val="00B31C40"/>
    <w:rsid w:val="00B3310C"/>
    <w:rsid w:val="00B957F1"/>
    <w:rsid w:val="00BA0019"/>
    <w:rsid w:val="00BB5C1D"/>
    <w:rsid w:val="00BC6130"/>
    <w:rsid w:val="00C05517"/>
    <w:rsid w:val="00C735AB"/>
    <w:rsid w:val="00C81301"/>
    <w:rsid w:val="00CE71B0"/>
    <w:rsid w:val="00D05A26"/>
    <w:rsid w:val="00D52C95"/>
    <w:rsid w:val="00D8306A"/>
    <w:rsid w:val="00DC478D"/>
    <w:rsid w:val="00DD0C22"/>
    <w:rsid w:val="00DF1151"/>
    <w:rsid w:val="00E15262"/>
    <w:rsid w:val="00E35D7E"/>
    <w:rsid w:val="00E50F32"/>
    <w:rsid w:val="00E8617F"/>
    <w:rsid w:val="00E94A6D"/>
    <w:rsid w:val="00EA3DBE"/>
    <w:rsid w:val="00EB1A59"/>
    <w:rsid w:val="00EB6222"/>
    <w:rsid w:val="00EE253A"/>
    <w:rsid w:val="00EF287D"/>
    <w:rsid w:val="00F04BAC"/>
    <w:rsid w:val="00F04D64"/>
    <w:rsid w:val="00F5238B"/>
    <w:rsid w:val="00FD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F3C27"/>
  <w15:docId w15:val="{46CC52F9-50FA-4CD9-8CC0-8290B1008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line="288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link w:val="CommentSubjectChar"/>
    <w:uiPriority w:val="99"/>
    <w:semiHidden/>
    <w:unhideWhenUsed/>
    <w:rPr>
      <w:b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A3DBE"/>
    <w:rPr>
      <w:color w:val="808080"/>
    </w:rPr>
  </w:style>
  <w:style w:type="table" w:styleId="TableGrid">
    <w:name w:val="Table Grid"/>
    <w:basedOn w:val="TableNormal"/>
    <w:uiPriority w:val="39"/>
    <w:rsid w:val="008854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14F31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57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9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5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71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68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812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784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dcterms:created xsi:type="dcterms:W3CDTF">2026-05-17T23:47:00Z</dcterms:created>
  <dcterms:modified xsi:type="dcterms:W3CDTF">2026-05-28T00:21:00Z</dcterms:modified>
</cp:coreProperties>
</file>